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3C80" w:rsidRDefault="007842FF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3C80" w:rsidRDefault="00333C80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333C80" w:rsidRDefault="007842FF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Espacio Curricular de EDI Tesina</w:t>
      </w:r>
    </w:p>
    <w:p w:rsidR="00333C80" w:rsidRDefault="007842FF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5º año – 2024</w:t>
      </w:r>
      <w:bookmarkStart w:id="2" w:name="_GoBack"/>
      <w:bookmarkEnd w:id="2"/>
    </w:p>
    <w:p w:rsidR="00333C80" w:rsidRDefault="007842FF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Bárbara </w:t>
      </w:r>
      <w:proofErr w:type="spellStart"/>
      <w:r>
        <w:rPr>
          <w:rFonts w:ascii="Arial" w:eastAsia="Arial" w:hAnsi="Arial" w:cs="Arial"/>
          <w:sz w:val="20"/>
          <w:szCs w:val="20"/>
        </w:rPr>
        <w:t>Schraiber</w:t>
      </w:r>
      <w:proofErr w:type="spellEnd"/>
    </w:p>
    <w:p w:rsidR="00333C80" w:rsidRDefault="00333C80">
      <w:pPr>
        <w:rPr>
          <w:rFonts w:ascii="Arial" w:eastAsia="Arial" w:hAnsi="Arial" w:cs="Arial"/>
          <w:b/>
          <w:sz w:val="20"/>
          <w:szCs w:val="20"/>
        </w:rPr>
      </w:pPr>
    </w:p>
    <w:p w:rsidR="00333C80" w:rsidRDefault="00333C80">
      <w:pPr>
        <w:rPr>
          <w:rFonts w:ascii="Arial" w:eastAsia="Arial" w:hAnsi="Arial" w:cs="Arial"/>
          <w:b/>
          <w:sz w:val="20"/>
          <w:szCs w:val="20"/>
        </w:rPr>
      </w:pPr>
    </w:p>
    <w:p w:rsidR="00333C80" w:rsidRDefault="007842F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Fundamentación</w:t>
      </w: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asignatura implica una instancia final de investigación en la cual los alumnos podrán integrar las diferentes habilidades y conocimientos adquiridos en el cursado de la carrera, desarrollar su discernimiento científico y comunicar eficazmente los result</w:t>
      </w:r>
      <w:r>
        <w:rPr>
          <w:rFonts w:ascii="Arial" w:eastAsia="Arial" w:hAnsi="Arial" w:cs="Arial"/>
          <w:sz w:val="20"/>
          <w:szCs w:val="20"/>
        </w:rPr>
        <w:t>ados obtenidos.</w:t>
      </w: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definición de procesos metodológicos utilizando variables científicas para promover el desarrollo de nuevos conocimientos debe ser parte de la formación profesional de un egresado </w:t>
      </w:r>
      <w:proofErr w:type="gramStart"/>
      <w:r>
        <w:rPr>
          <w:rFonts w:ascii="Arial" w:eastAsia="Arial" w:hAnsi="Arial" w:cs="Arial"/>
          <w:sz w:val="20"/>
          <w:szCs w:val="20"/>
        </w:rPr>
        <w:t>en  gerenciamiento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intercultural habilitándolo para ser u</w:t>
      </w:r>
      <w:r>
        <w:rPr>
          <w:rFonts w:ascii="Arial" w:eastAsia="Arial" w:hAnsi="Arial" w:cs="Arial"/>
          <w:sz w:val="20"/>
          <w:szCs w:val="20"/>
        </w:rPr>
        <w:t>n especialista en la comprensión de lo diverso con énfasis en su espacio cultural de especialización.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propósito de pensar y confeccionar un proyecto científico social es otorgarle al alumnado las herramientas teóricas, metodológicas, epistemológicas, a</w:t>
      </w:r>
      <w:r>
        <w:rPr>
          <w:rFonts w:ascii="Arial" w:eastAsia="Arial" w:hAnsi="Arial" w:cs="Arial"/>
          <w:sz w:val="20"/>
          <w:szCs w:val="20"/>
        </w:rPr>
        <w:t>xiológicas y prácticas para la creación de un corpus teórico y metodológico de nivel científico aplicable y viable. El proceso de investigación social y su comprensión y aprehensión permite que el alumnado obtenga la experiencia necesaria para poder, en el</w:t>
      </w:r>
      <w:r>
        <w:rPr>
          <w:rFonts w:ascii="Arial" w:eastAsia="Arial" w:hAnsi="Arial" w:cs="Arial"/>
          <w:sz w:val="20"/>
          <w:szCs w:val="20"/>
        </w:rPr>
        <w:t xml:space="preserve"> futuro, confeccionar proyectos e investigaciones tanto a nivel académico como profesional, aumentando así la confianza en sí mismo/misma a la hora de afrontar </w:t>
      </w:r>
      <w:proofErr w:type="gramStart"/>
      <w:r>
        <w:rPr>
          <w:rFonts w:ascii="Arial" w:eastAsia="Arial" w:hAnsi="Arial" w:cs="Arial"/>
          <w:sz w:val="20"/>
          <w:szCs w:val="20"/>
        </w:rPr>
        <w:t>retos académico</w:t>
      </w:r>
      <w:proofErr w:type="gramEnd"/>
      <w:r>
        <w:rPr>
          <w:rFonts w:ascii="Arial" w:eastAsia="Arial" w:hAnsi="Arial" w:cs="Arial"/>
          <w:sz w:val="20"/>
          <w:szCs w:val="20"/>
        </w:rPr>
        <w:t>/profesionales, a la vez de saber crear y utilizar herramientas para la resolució</w:t>
      </w:r>
      <w:r>
        <w:rPr>
          <w:rFonts w:ascii="Arial" w:eastAsia="Arial" w:hAnsi="Arial" w:cs="Arial"/>
          <w:sz w:val="20"/>
          <w:szCs w:val="20"/>
        </w:rPr>
        <w:t>n de problemas y conflictos correcta y prolijamente.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Sobre esta base es que el alumno podrá verse como un sujeto social pensante y crítico concreto, con un papel activo donde se debe hacer relevante la percepción que éste trae: aquello que él/ella ha vivi</w:t>
      </w:r>
      <w:r>
        <w:rPr>
          <w:rFonts w:ascii="Arial" w:eastAsia="Arial" w:hAnsi="Arial" w:cs="Arial"/>
          <w:sz w:val="20"/>
          <w:szCs w:val="20"/>
        </w:rPr>
        <w:t>do, su experiencia anterior, su disposición a participar activamente en un trabajo grupal, creativo, cooperativo y productivo. A su vez, el alumnado deberá asumir responsabilidad en las tareas y aportar opinión, reflexión e información al trabajo grupal pa</w:t>
      </w:r>
      <w:r>
        <w:rPr>
          <w:rFonts w:ascii="Arial" w:eastAsia="Arial" w:hAnsi="Arial" w:cs="Arial"/>
          <w:sz w:val="20"/>
          <w:szCs w:val="20"/>
        </w:rPr>
        <w:t>ra la resolución de problemas que se le vayan planteando durante la confección del proyecto de investigación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interacción dinámica entre el docente y el alumno durante el proceso de aprendizaje es crucial y se verá enriquecida por los contenidos y desti</w:t>
      </w:r>
      <w:r>
        <w:rPr>
          <w:rFonts w:ascii="Arial" w:eastAsia="Arial" w:hAnsi="Arial" w:cs="Arial"/>
          <w:sz w:val="20"/>
          <w:szCs w:val="20"/>
        </w:rPr>
        <w:t xml:space="preserve">nada a la modificación de conductas del adolescente promoviendo su desarrollo del pensamiento lógico- formal, académico-profesional, </w:t>
      </w:r>
      <w:proofErr w:type="spellStart"/>
      <w:r>
        <w:rPr>
          <w:rFonts w:ascii="Arial" w:eastAsia="Arial" w:hAnsi="Arial" w:cs="Arial"/>
          <w:sz w:val="20"/>
          <w:szCs w:val="20"/>
        </w:rPr>
        <w:t>psico</w:t>
      </w:r>
      <w:proofErr w:type="spellEnd"/>
      <w:r>
        <w:rPr>
          <w:rFonts w:ascii="Arial" w:eastAsia="Arial" w:hAnsi="Arial" w:cs="Arial"/>
          <w:sz w:val="20"/>
          <w:szCs w:val="20"/>
        </w:rPr>
        <w:t>-afectivo y emotivo a través de la significatividad lógica y psicológica.</w:t>
      </w:r>
      <w:r>
        <w:t xml:space="preserve"> 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Propósitos y objetivos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33C80" w:rsidRDefault="00784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Favorecer la adquisición de herramientas teóricas y metodológicas básicas que posibiliten reconocer la diversidad de formas y dinámicas que presenta la investigación social</w:t>
      </w:r>
    </w:p>
    <w:p w:rsidR="00333C80" w:rsidRDefault="00784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Impulsar la conciencia del ejercicio profesional socialmente responsable, en términ</w:t>
      </w:r>
      <w:r>
        <w:rPr>
          <w:rFonts w:ascii="Arial" w:eastAsia="Arial" w:hAnsi="Arial" w:cs="Arial"/>
          <w:sz w:val="20"/>
          <w:szCs w:val="20"/>
        </w:rPr>
        <w:t>os éticos, y científicamente sólido, con hábitos de aprendizaje continuo.</w:t>
      </w:r>
    </w:p>
    <w:p w:rsidR="00333C80" w:rsidRDefault="007842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Integrar a los alumnos en espacios de alta creatividad y rendimiento, diversidad y adaptabilidad, en el contexto de trabajo en equipo.</w:t>
      </w:r>
    </w:p>
    <w:p w:rsidR="00333C80" w:rsidRDefault="007842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spacing w:after="0" w:line="240" w:lineRule="auto"/>
        <w:ind w:left="340" w:hanging="31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Promover la construcción de puntos de vista pro</w:t>
      </w:r>
      <w:r>
        <w:rPr>
          <w:rFonts w:ascii="Arial" w:eastAsia="Arial" w:hAnsi="Arial" w:cs="Arial"/>
          <w:color w:val="000000"/>
          <w:sz w:val="20"/>
          <w:szCs w:val="20"/>
        </w:rPr>
        <w:t>pios sostenidos en el conocimiento teórico-metodológico y la posibilidad de comunicarlos   utilizando conceptos, formas y registros cada vez más ricos y precisos académicamente hablando.</w:t>
      </w:r>
    </w:p>
    <w:p w:rsidR="00333C80" w:rsidRDefault="007842F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"/>
        </w:tabs>
        <w:spacing w:after="0" w:line="240" w:lineRule="auto"/>
        <w:ind w:left="340" w:hanging="31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Brindar oportunidades para reflexionar acerca de las formas en que la</w:t>
      </w:r>
      <w:r>
        <w:rPr>
          <w:rFonts w:ascii="Arial" w:eastAsia="Arial" w:hAnsi="Arial" w:cs="Arial"/>
          <w:color w:val="000000"/>
          <w:sz w:val="20"/>
          <w:szCs w:val="20"/>
        </w:rPr>
        <w:t>s sociedades dan respuesta a problemas y divergencias que se manifiestan socialmente, resaltando la importancia de las alternativas fundadas en el diálogo, la cooperación y el establecimiento de consensos.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333C80">
      <w:pPr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Contenidos</w:t>
      </w: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Unidad I: Creación del tema de investigación y confección del Marco Teórico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Elección del tema de investigación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Acotación del tema para permitir su viabilidad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Investigación bibliográfica para el marco teórico general, sustantivo y sus proposiciones teórica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Redacción del Marco Teórico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Tentativas de objetivos generales y específicos</w:t>
      </w:r>
    </w:p>
    <w:p w:rsidR="00333C80" w:rsidRDefault="00333C80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II: </w:t>
      </w:r>
      <w:r>
        <w:rPr>
          <w:rFonts w:ascii="Arial" w:eastAsia="Arial" w:hAnsi="Arial" w:cs="Arial"/>
          <w:b/>
          <w:color w:val="000000"/>
          <w:sz w:val="20"/>
          <w:szCs w:val="20"/>
        </w:rPr>
        <w:t>El Marco Metodológico: revisión y confección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Confección de objetivos generales y específicos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Los supuestos paradigmáticos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Operatividad de variables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Diseño metodológico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Técnicas de recolección de información: elección y confección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Técnicas de análisis de datos: elección y confección</w:t>
      </w:r>
    </w:p>
    <w:p w:rsidR="00333C80" w:rsidRDefault="00784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33C80" w:rsidRDefault="007842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III: Diseño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muestral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redacción del proyecto completo y Defensa de Proyecto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Confección del diseño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muestral</w:t>
      </w:r>
      <w:proofErr w:type="spellEnd"/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9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Redacción del diseño metodológico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9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Redacción y término del proyecto de investigación</w:t>
      </w:r>
    </w:p>
    <w:p w:rsidR="00333C80" w:rsidRDefault="00784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9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Defensa del proyecto de investigación</w:t>
      </w:r>
    </w:p>
    <w:p w:rsidR="00333C80" w:rsidRDefault="00333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9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333C80" w:rsidRDefault="007842F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Estrategias</w:t>
      </w:r>
    </w:p>
    <w:p w:rsidR="00333C80" w:rsidRDefault="00784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Guiar de manera personalizada al alumnado clase a clase en las tareas que debe hacer para la confección del proyecto de i</w:t>
      </w:r>
      <w:r>
        <w:rPr>
          <w:rFonts w:ascii="Arial" w:eastAsia="Arial" w:hAnsi="Arial" w:cs="Arial"/>
          <w:color w:val="000000"/>
          <w:sz w:val="20"/>
          <w:szCs w:val="20"/>
        </w:rPr>
        <w:t>nvestigación</w:t>
      </w:r>
    </w:p>
    <w:p w:rsidR="00333C80" w:rsidRDefault="00784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Proporcionar ayuda bibliográfica pertinente con la investigación social y el tema seleccionado en caso de dificultad</w:t>
      </w:r>
    </w:p>
    <w:p w:rsidR="00333C80" w:rsidRDefault="00784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Revisión clase a clase de los avances del alumnado en el proyecto</w:t>
      </w:r>
    </w:p>
    <w:p w:rsidR="00333C80" w:rsidRDefault="00784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Evaluación clase a clase de lo exigido para así normalizar el nivel general</w:t>
      </w:r>
    </w:p>
    <w:p w:rsidR="00333C80" w:rsidRDefault="00333C8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333C80" w:rsidRDefault="007842F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Evaluación y recursos</w:t>
      </w:r>
    </w:p>
    <w:p w:rsidR="00333C80" w:rsidRDefault="007842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 es un proceso continuo. Se considerarán como mínimo cuatro evaluaciones escritas por trimestre, además del trabajo clase a clase.</w:t>
      </w:r>
    </w:p>
    <w:p w:rsidR="00333C80" w:rsidRDefault="00784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Contemplar la evaluación de distintos tipos de aprendizaje (conocimientos, procedimientos, habilidades, actitudes, etcétera).</w:t>
      </w:r>
    </w:p>
    <w:p w:rsidR="00333C80" w:rsidRDefault="0033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33C80" w:rsidRDefault="00784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Contemplar la evaluación del proceso de aprendizaje de los alumnos.</w:t>
      </w:r>
    </w:p>
    <w:p w:rsidR="00333C80" w:rsidRDefault="0033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33C80" w:rsidRDefault="00784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Incluir situaciones de evaluación de inicio, formativa y final.</w:t>
      </w:r>
    </w:p>
    <w:p w:rsidR="00333C80" w:rsidRDefault="00333C8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33C80" w:rsidRDefault="00784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  internet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en clase y extra clase para investigar y elaborar trabajos.</w:t>
      </w:r>
    </w:p>
    <w:p w:rsidR="00333C80" w:rsidRDefault="007842FF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Bibliografía</w:t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BARBERÍA, M</w:t>
      </w:r>
      <w:r>
        <w:rPr>
          <w:rFonts w:ascii="Arial" w:eastAsia="Arial" w:hAnsi="Arial" w:cs="Arial"/>
          <w:sz w:val="20"/>
          <w:szCs w:val="20"/>
        </w:rPr>
        <w:tab/>
        <w:t>Cómo hacer una monografía</w:t>
      </w:r>
      <w:r>
        <w:rPr>
          <w:rFonts w:ascii="Arial" w:eastAsia="Arial" w:hAnsi="Arial" w:cs="Arial"/>
          <w:sz w:val="20"/>
          <w:szCs w:val="20"/>
        </w:rPr>
        <w:tab/>
        <w:t>Buenos Aires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Valletta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1998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BOTTA, M</w:t>
      </w:r>
      <w:r>
        <w:rPr>
          <w:rFonts w:ascii="Arial" w:eastAsia="Arial" w:hAnsi="Arial" w:cs="Arial"/>
          <w:sz w:val="20"/>
          <w:szCs w:val="20"/>
        </w:rPr>
        <w:tab/>
        <w:t>Tesis, monografías e infor</w:t>
      </w:r>
      <w:r>
        <w:rPr>
          <w:rFonts w:ascii="Arial" w:eastAsia="Arial" w:hAnsi="Arial" w:cs="Arial"/>
          <w:sz w:val="20"/>
          <w:szCs w:val="20"/>
        </w:rPr>
        <w:t>mes</w:t>
      </w:r>
      <w:r>
        <w:rPr>
          <w:rFonts w:ascii="Arial" w:eastAsia="Arial" w:hAnsi="Arial" w:cs="Arial"/>
          <w:sz w:val="20"/>
          <w:szCs w:val="20"/>
        </w:rPr>
        <w:tab/>
        <w:t>Buenos Aires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Biblos</w:t>
      </w:r>
      <w:proofErr w:type="spellEnd"/>
      <w:r>
        <w:rPr>
          <w:rFonts w:ascii="Arial" w:eastAsia="Arial" w:hAnsi="Arial" w:cs="Arial"/>
          <w:sz w:val="20"/>
          <w:szCs w:val="20"/>
        </w:rPr>
        <w:tab/>
        <w:t>2002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CARLI, A</w:t>
      </w:r>
      <w:r>
        <w:rPr>
          <w:rFonts w:ascii="Arial" w:eastAsia="Arial" w:hAnsi="Arial" w:cs="Arial"/>
          <w:sz w:val="20"/>
          <w:szCs w:val="20"/>
        </w:rPr>
        <w:tab/>
        <w:t>La ciencia como herramienta</w:t>
      </w:r>
      <w:r>
        <w:rPr>
          <w:rFonts w:ascii="Arial" w:eastAsia="Arial" w:hAnsi="Arial" w:cs="Arial"/>
          <w:sz w:val="20"/>
          <w:szCs w:val="20"/>
        </w:rPr>
        <w:tab/>
        <w:t>Buenos Aires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Biblos</w:t>
      </w:r>
      <w:proofErr w:type="spellEnd"/>
      <w:r>
        <w:rPr>
          <w:rFonts w:ascii="Arial" w:eastAsia="Arial" w:hAnsi="Arial" w:cs="Arial"/>
          <w:sz w:val="20"/>
          <w:szCs w:val="20"/>
        </w:rPr>
        <w:tab/>
        <w:t>2008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ECO, U </w:t>
      </w:r>
      <w:r>
        <w:rPr>
          <w:rFonts w:ascii="Arial" w:eastAsia="Arial" w:hAnsi="Arial" w:cs="Arial"/>
          <w:sz w:val="20"/>
          <w:szCs w:val="20"/>
        </w:rPr>
        <w:tab/>
        <w:t>Cómo se hace una tesis</w:t>
      </w:r>
      <w:r>
        <w:rPr>
          <w:rFonts w:ascii="Arial" w:eastAsia="Arial" w:hAnsi="Arial" w:cs="Arial"/>
          <w:sz w:val="20"/>
          <w:szCs w:val="20"/>
        </w:rPr>
        <w:tab/>
        <w:t>Madrid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Gedisa</w:t>
      </w:r>
      <w:proofErr w:type="spellEnd"/>
      <w:r>
        <w:rPr>
          <w:rFonts w:ascii="Arial" w:eastAsia="Arial" w:hAnsi="Arial" w:cs="Arial"/>
          <w:sz w:val="20"/>
          <w:szCs w:val="20"/>
        </w:rPr>
        <w:tab/>
        <w:t>2005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MANGANARO ROZAS</w:t>
      </w:r>
      <w:r>
        <w:rPr>
          <w:rFonts w:ascii="Arial" w:eastAsia="Arial" w:hAnsi="Arial" w:cs="Arial"/>
          <w:sz w:val="20"/>
          <w:szCs w:val="20"/>
        </w:rPr>
        <w:tab/>
        <w:t>Pasos para una tesis doctoral</w:t>
      </w:r>
      <w:r>
        <w:rPr>
          <w:rFonts w:ascii="Arial" w:eastAsia="Arial" w:hAnsi="Arial" w:cs="Arial"/>
          <w:sz w:val="20"/>
          <w:szCs w:val="20"/>
        </w:rPr>
        <w:tab/>
        <w:t>Buenos Aires</w:t>
      </w:r>
      <w:r>
        <w:rPr>
          <w:rFonts w:ascii="Arial" w:eastAsia="Arial" w:hAnsi="Arial" w:cs="Arial"/>
          <w:sz w:val="20"/>
          <w:szCs w:val="20"/>
        </w:rPr>
        <w:tab/>
        <w:t>Plus Ultra</w:t>
      </w:r>
      <w:r>
        <w:rPr>
          <w:rFonts w:ascii="Arial" w:eastAsia="Arial" w:hAnsi="Arial" w:cs="Arial"/>
          <w:sz w:val="20"/>
          <w:szCs w:val="20"/>
        </w:rPr>
        <w:tab/>
        <w:t>1994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7842FF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SCARANO, 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Manual de redacción de escritos de investigación</w:t>
      </w:r>
      <w:r>
        <w:rPr>
          <w:rFonts w:ascii="Arial" w:eastAsia="Arial" w:hAnsi="Arial" w:cs="Arial"/>
          <w:sz w:val="20"/>
          <w:szCs w:val="20"/>
        </w:rPr>
        <w:tab/>
        <w:t>Buenos Aires</w:t>
      </w:r>
      <w:r>
        <w:rPr>
          <w:rFonts w:ascii="Arial" w:eastAsia="Arial" w:hAnsi="Arial" w:cs="Arial"/>
          <w:sz w:val="20"/>
          <w:szCs w:val="20"/>
        </w:rPr>
        <w:tab/>
        <w:t>Macchi</w:t>
      </w:r>
      <w:r>
        <w:rPr>
          <w:rFonts w:ascii="Arial" w:eastAsia="Arial" w:hAnsi="Arial" w:cs="Arial"/>
          <w:sz w:val="20"/>
          <w:szCs w:val="20"/>
        </w:rPr>
        <w:tab/>
        <w:t>2009</w:t>
      </w:r>
      <w:r>
        <w:rPr>
          <w:rFonts w:ascii="Arial" w:eastAsia="Arial" w:hAnsi="Arial" w:cs="Arial"/>
          <w:sz w:val="20"/>
          <w:szCs w:val="20"/>
        </w:rPr>
        <w:tab/>
      </w:r>
    </w:p>
    <w:p w:rsidR="00333C80" w:rsidRDefault="00333C80">
      <w:pPr>
        <w:spacing w:after="120"/>
        <w:rPr>
          <w:rFonts w:ascii="Arial" w:eastAsia="Arial" w:hAnsi="Arial" w:cs="Arial"/>
          <w:sz w:val="20"/>
          <w:szCs w:val="20"/>
        </w:rPr>
      </w:pPr>
    </w:p>
    <w:sectPr w:rsidR="00333C80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274"/>
    <w:multiLevelType w:val="multilevel"/>
    <w:tmpl w:val="071897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23F7781"/>
    <w:multiLevelType w:val="multilevel"/>
    <w:tmpl w:val="A820403C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38B67084"/>
    <w:multiLevelType w:val="multilevel"/>
    <w:tmpl w:val="783E82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C607B83"/>
    <w:multiLevelType w:val="multilevel"/>
    <w:tmpl w:val="2458BA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52D2CDE"/>
    <w:multiLevelType w:val="multilevel"/>
    <w:tmpl w:val="1CE25EAC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0"/>
    <w:rsid w:val="00333C80"/>
    <w:rsid w:val="007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9B0E"/>
  <w15:docId w15:val="{7E35F256-09B7-4D4C-B1A8-8450146F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Kennison, Robert</dc:creator>
  <cp:lastModifiedBy>Kennison, Robert</cp:lastModifiedBy>
  <cp:revision>2</cp:revision>
  <dcterms:created xsi:type="dcterms:W3CDTF">2024-03-25T21:14:00Z</dcterms:created>
  <dcterms:modified xsi:type="dcterms:W3CDTF">2024-03-25T21:14:00Z</dcterms:modified>
</cp:coreProperties>
</file>