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5F" w:rsidRDefault="00DC145F" w:rsidP="00DC145F">
      <w:pPr>
        <w:jc w:val="center"/>
        <w:rPr>
          <w:lang w:val="es-MX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1133475" cy="1247775"/>
            <wp:effectExtent l="0" t="0" r="9525" b="9525"/>
            <wp:docPr id="1" name="Imagen 1" descr="https://lh3.googleusercontent.com/1d2HiHWI6oWq1J2rnJcAPEpzQBhGRnNkn7_Ha-voZEtYQ4ayKsly2Jwj81Du2Erwnl9kHIb_ftDa3u3InNDiFi85-ZhX7J2WrM0CC3qOZkxrLsGVcPrPhRm1lDYv-ab59ktsNDJ2jFwT4r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1d2HiHWI6oWq1J2rnJcAPEpzQBhGRnNkn7_Ha-voZEtYQ4ayKsly2Jwj81Du2Erwnl9kHIb_ftDa3u3InNDiFi85-ZhX7J2WrM0CC3qOZkxrLsGVcPrPhRm1lDYv-ab59ktsNDJ2jFwT4rW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D4" w:rsidRPr="00DC145F" w:rsidRDefault="00DC145F">
      <w:pPr>
        <w:rPr>
          <w:b/>
          <w:lang w:val="es-MX"/>
        </w:rPr>
      </w:pPr>
      <w:r w:rsidRPr="00DC145F">
        <w:rPr>
          <w:b/>
          <w:lang w:val="es-MX"/>
        </w:rPr>
        <w:t xml:space="preserve">Instituto Superior Porteño </w:t>
      </w:r>
    </w:p>
    <w:p w:rsidR="00DC145F" w:rsidRPr="00DC145F" w:rsidRDefault="00325392">
      <w:pPr>
        <w:rPr>
          <w:b/>
          <w:lang w:val="es-MX"/>
        </w:rPr>
      </w:pPr>
      <w:r>
        <w:rPr>
          <w:b/>
          <w:lang w:val="es-MX"/>
        </w:rPr>
        <w:t>Antropología Cultural</w:t>
      </w:r>
      <w:r w:rsidR="00DC145F">
        <w:rPr>
          <w:b/>
          <w:lang w:val="es-MX"/>
        </w:rPr>
        <w:t xml:space="preserve"> – </w:t>
      </w:r>
      <w:r>
        <w:rPr>
          <w:b/>
          <w:lang w:val="es-MX"/>
        </w:rPr>
        <w:t>4to</w:t>
      </w:r>
      <w:r w:rsidR="00DC145F">
        <w:rPr>
          <w:b/>
          <w:lang w:val="es-MX"/>
        </w:rPr>
        <w:t xml:space="preserve"> año</w:t>
      </w:r>
      <w:r w:rsidR="0034345E">
        <w:rPr>
          <w:b/>
          <w:lang w:val="es-MX"/>
        </w:rPr>
        <w:t xml:space="preserve"> 2024</w:t>
      </w:r>
    </w:p>
    <w:p w:rsidR="00DC145F" w:rsidRDefault="00DC145F">
      <w:pPr>
        <w:rPr>
          <w:b/>
          <w:lang w:val="es-MX"/>
        </w:rPr>
      </w:pPr>
      <w:r w:rsidRPr="00DC145F">
        <w:rPr>
          <w:b/>
          <w:lang w:val="es-MX"/>
        </w:rPr>
        <w:t xml:space="preserve">Prof. Bárbara </w:t>
      </w:r>
      <w:proofErr w:type="spellStart"/>
      <w:r w:rsidRPr="00DC145F">
        <w:rPr>
          <w:b/>
          <w:lang w:val="es-MX"/>
        </w:rPr>
        <w:t>Schraiber</w:t>
      </w:r>
      <w:proofErr w:type="spellEnd"/>
    </w:p>
    <w:p w:rsidR="00325392" w:rsidRPr="00795CAA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95CAA">
        <w:rPr>
          <w:rFonts w:ascii="Arial" w:hAnsi="Arial" w:cs="Arial"/>
          <w:b/>
          <w:bCs/>
          <w:sz w:val="20"/>
          <w:szCs w:val="20"/>
        </w:rPr>
        <w:t>FUNDAMENTACIÓN:</w:t>
      </w:r>
    </w:p>
    <w:p w:rsidR="00325392" w:rsidRPr="00325392" w:rsidRDefault="00325392" w:rsidP="00325392">
      <w:pPr>
        <w:widowControl w:val="0"/>
        <w:spacing w:before="353" w:line="241" w:lineRule="auto"/>
        <w:ind w:left="85" w:right="-1" w:firstLine="10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>El presente plan de trabajo se encuentra destinado a introducir a los estudiantes en las perspectivas que la Antropología ofrece e</w:t>
      </w:r>
      <w:r>
        <w:rPr>
          <w:rFonts w:ascii="Verdana" w:eastAsia="Verdana" w:hAnsi="Verdana" w:cs="Verdana"/>
          <w:sz w:val="20"/>
          <w:szCs w:val="20"/>
          <w:lang w:val="es-MX"/>
        </w:rPr>
        <w:t xml:space="preserve">n tanto Ciencia Social para la </w:t>
      </w:r>
      <w:r w:rsidRPr="00325392">
        <w:rPr>
          <w:rFonts w:ascii="Verdana" w:eastAsia="Verdana" w:hAnsi="Verdana" w:cs="Verdana"/>
          <w:sz w:val="20"/>
          <w:szCs w:val="20"/>
          <w:lang w:val="es-MX"/>
        </w:rPr>
        <w:t xml:space="preserve">comprensión del mundo.  </w:t>
      </w:r>
    </w:p>
    <w:p w:rsidR="00325392" w:rsidRPr="00325392" w:rsidRDefault="00325392" w:rsidP="00325392">
      <w:pPr>
        <w:widowControl w:val="0"/>
        <w:spacing w:before="7" w:line="242" w:lineRule="auto"/>
        <w:ind w:left="77" w:right="-2" w:firstLine="18"/>
        <w:jc w:val="both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>La Antropología como disciplina intenta colaborar en la comprensión de la realidad sociocultural a través de una mirada crítica y científica que habilite experiencias diversas. El énfasis de la asignatura estará puesto en dos ejes que necesariamente deben ser abordados en conjunto. El primero refiere a la Antropología como estudio de la otredad, alteridad o diversidad cultural. El segundo, versa sobre su “método” particular: la observación participante</w:t>
      </w:r>
      <w:r>
        <w:rPr>
          <w:rFonts w:ascii="Verdana" w:eastAsia="Verdana" w:hAnsi="Verdana" w:cs="Verdana"/>
          <w:sz w:val="20"/>
          <w:szCs w:val="20"/>
          <w:lang w:val="es-MX"/>
        </w:rPr>
        <w:t>,</w:t>
      </w:r>
      <w:r w:rsidRPr="00325392">
        <w:rPr>
          <w:rFonts w:ascii="Verdana" w:eastAsia="Verdana" w:hAnsi="Verdana" w:cs="Verdana"/>
          <w:sz w:val="20"/>
          <w:szCs w:val="20"/>
          <w:lang w:val="es-MX"/>
        </w:rPr>
        <w:t xml:space="preserve"> que da cuenta de un modo distintivo de recolectar, analizar y exhibir los datos. Asimismo, los ejes mencionados serán complementados con el conocimiento del contexto histórico y social que permitió el desarrollo de la Antropología y las relaciones de esta ciencia con el campo científico general. La lectura de textos clásicos reconocidos junto con aquellos que evidencian la redefinición del campo disciplinar contribuirán a un conocimiento procesual de la Antropología en su diálogo con otras disciplinas del campo social y de las humanidades. En suma, es objetivo de este curso brindar herramientas conceptuales y metodológicas propias de la Antropología Cultural que permitan distintas posibilidades de acercamiento, comprensión y trabajo sobre las problemáticas culturales contemporáneas que acontecen en un espacio cultural heterogéneo y conflictivo. </w:t>
      </w:r>
    </w:p>
    <w:p w:rsidR="00325392" w:rsidRPr="00361B47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25392" w:rsidRPr="00361B47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61B47">
        <w:rPr>
          <w:rFonts w:ascii="Arial" w:hAnsi="Arial" w:cs="Arial"/>
          <w:b/>
          <w:bCs/>
          <w:sz w:val="20"/>
          <w:szCs w:val="20"/>
        </w:rPr>
        <w:t>PROPÓSITOS:</w:t>
      </w:r>
    </w:p>
    <w:p w:rsidR="00325392" w:rsidRPr="00325392" w:rsidRDefault="00325392" w:rsidP="00325392">
      <w:pPr>
        <w:widowControl w:val="0"/>
        <w:numPr>
          <w:ilvl w:val="0"/>
          <w:numId w:val="1"/>
        </w:numPr>
        <w:spacing w:before="258" w:after="0" w:line="240" w:lineRule="auto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 xml:space="preserve">Proporcionar a los estudiantes un conocimiento crítico y comprensivo de las claves de la Antropología Cultural. </w:t>
      </w:r>
    </w:p>
    <w:p w:rsidR="00325392" w:rsidRPr="00325392" w:rsidRDefault="00325392" w:rsidP="00325392">
      <w:pPr>
        <w:widowControl w:val="0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 xml:space="preserve">Generar un ámbito propicio para el análisis de la reflexión y la discusión sobre la antropología y sus problemáticas. </w:t>
      </w:r>
    </w:p>
    <w:p w:rsidR="00325392" w:rsidRPr="00325392" w:rsidRDefault="00325392" w:rsidP="00325392">
      <w:pPr>
        <w:widowControl w:val="0"/>
        <w:numPr>
          <w:ilvl w:val="0"/>
          <w:numId w:val="1"/>
        </w:numPr>
        <w:spacing w:after="0" w:line="232" w:lineRule="auto"/>
        <w:ind w:right="-2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 xml:space="preserve">Brindar elementos que permitan profundizar la problemática de la cultura, la multiculturalidad, la interculturalidad y el control cultural en las sociedades contemporáneas.  </w:t>
      </w:r>
    </w:p>
    <w:p w:rsidR="00325392" w:rsidRPr="00361B47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25392" w:rsidRPr="00361B47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61B47">
        <w:rPr>
          <w:rFonts w:ascii="Arial" w:hAnsi="Arial" w:cs="Arial"/>
          <w:b/>
          <w:bCs/>
          <w:sz w:val="20"/>
          <w:szCs w:val="20"/>
        </w:rPr>
        <w:t>OBJETIVOS:</w:t>
      </w:r>
    </w:p>
    <w:p w:rsidR="00325392" w:rsidRPr="00361B47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25392" w:rsidRPr="00361B47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61B47">
        <w:rPr>
          <w:rFonts w:ascii="Verdana" w:eastAsia="Verdana" w:hAnsi="Verdana" w:cs="Verdana"/>
          <w:sz w:val="20"/>
          <w:szCs w:val="20"/>
        </w:rPr>
        <w:t xml:space="preserve">Se espera que los estudiantes logren:  </w:t>
      </w:r>
    </w:p>
    <w:p w:rsidR="00325392" w:rsidRPr="00325392" w:rsidRDefault="00325392" w:rsidP="00325392">
      <w:pPr>
        <w:widowControl w:val="0"/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 xml:space="preserve">Conocer y comprender las características de los problemas socio-antropológicos contemporáneos </w:t>
      </w:r>
    </w:p>
    <w:p w:rsidR="00325392" w:rsidRPr="00325392" w:rsidRDefault="00325392" w:rsidP="00325392">
      <w:pPr>
        <w:widowControl w:val="0"/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lastRenderedPageBreak/>
        <w:t xml:space="preserve">Desarrollar hábitos de reflexión, comparación, análisis y síntesis sobre las problemáticas en cuestión; </w:t>
      </w:r>
    </w:p>
    <w:p w:rsidR="00325392" w:rsidRPr="00325392" w:rsidRDefault="00325392" w:rsidP="00325392">
      <w:pPr>
        <w:widowControl w:val="0"/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>Alcanzar hábitos en el empleo del lenguaje específico sobre la materia en particular y las Ciencias Sociales y Humanas en general</w:t>
      </w:r>
      <w:r>
        <w:rPr>
          <w:rFonts w:ascii="Verdana" w:eastAsia="Verdana" w:hAnsi="Verdana" w:cs="Verdana"/>
          <w:sz w:val="20"/>
          <w:szCs w:val="20"/>
          <w:lang w:val="es-MX"/>
        </w:rPr>
        <w:t>.</w:t>
      </w:r>
    </w:p>
    <w:p w:rsidR="00325392" w:rsidRPr="00325392" w:rsidRDefault="00325392" w:rsidP="0032539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>Identificar los mandatos sociales (de clase, de género, etarios) que los atraviesan e interpelan, y puedan problematizarlos desde una perspectiva antropológica.</w:t>
      </w:r>
    </w:p>
    <w:p w:rsidR="00325392" w:rsidRPr="00325392" w:rsidRDefault="00325392" w:rsidP="00325392">
      <w:pPr>
        <w:widowControl w:val="0"/>
        <w:numPr>
          <w:ilvl w:val="0"/>
          <w:numId w:val="7"/>
        </w:numPr>
        <w:spacing w:after="200" w:line="240" w:lineRule="auto"/>
        <w:jc w:val="both"/>
        <w:rPr>
          <w:rFonts w:ascii="Verdana" w:eastAsia="Verdana" w:hAnsi="Verdana" w:cs="Verdana"/>
          <w:sz w:val="20"/>
          <w:szCs w:val="20"/>
          <w:lang w:val="es-MX"/>
        </w:rPr>
      </w:pPr>
      <w:r w:rsidRPr="00325392">
        <w:rPr>
          <w:rFonts w:ascii="Verdana" w:eastAsia="Verdana" w:hAnsi="Verdana" w:cs="Verdana"/>
          <w:sz w:val="20"/>
          <w:szCs w:val="20"/>
          <w:lang w:val="es-MX"/>
        </w:rPr>
        <w:t>Desarrollar una mirada crítica sobre los discursos naturalizados y cristalizados en el llamado “sentido común”.</w:t>
      </w:r>
    </w:p>
    <w:p w:rsidR="00325392" w:rsidRPr="00361B47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325392" w:rsidRPr="00361B47" w:rsidRDefault="00325392" w:rsidP="00325392">
      <w:pPr>
        <w:pStyle w:val="Header"/>
        <w:tabs>
          <w:tab w:val="left" w:pos="486"/>
          <w:tab w:val="right" w:pos="9637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325392" w:rsidRDefault="00325392" w:rsidP="0032539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498" w:right="334"/>
        <w:rPr>
          <w:rFonts w:ascii="Verdana" w:eastAsia="Verdana" w:hAnsi="Verdana" w:cs="Calibri"/>
          <w:b/>
          <w:i/>
          <w:color w:val="000000"/>
          <w:sz w:val="20"/>
          <w:szCs w:val="20"/>
          <w:lang w:val="es-MX"/>
        </w:rPr>
      </w:pPr>
      <w:r w:rsidRPr="00325392">
        <w:rPr>
          <w:rFonts w:ascii="Verdana" w:eastAsia="Verdana" w:hAnsi="Verdana" w:cs="Calibri"/>
          <w:b/>
          <w:color w:val="000000"/>
          <w:sz w:val="20"/>
          <w:szCs w:val="20"/>
          <w:lang w:val="es-MX"/>
        </w:rPr>
        <w:t>Unidad 1:</w:t>
      </w:r>
      <w:r w:rsidRPr="00325392"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 </w:t>
      </w:r>
      <w:r w:rsidRPr="00325392">
        <w:rPr>
          <w:rFonts w:ascii="Verdana" w:eastAsia="Verdana" w:hAnsi="Verdana" w:cs="Calibri"/>
          <w:b/>
          <w:i/>
          <w:color w:val="000000"/>
          <w:sz w:val="20"/>
          <w:szCs w:val="20"/>
          <w:lang w:val="es-MX"/>
        </w:rPr>
        <w:t>La Antropología como ciencia social</w:t>
      </w:r>
    </w:p>
    <w:p w:rsidR="00325392" w:rsidRPr="00325392" w:rsidRDefault="00325392" w:rsidP="0032539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498" w:right="334"/>
        <w:rPr>
          <w:rFonts w:ascii="Verdana" w:eastAsia="Verdana" w:hAnsi="Verdana" w:cs="Calibri"/>
          <w:color w:val="000000"/>
          <w:sz w:val="20"/>
          <w:szCs w:val="20"/>
          <w:lang w:val="es-MX"/>
        </w:rPr>
      </w:pPr>
    </w:p>
    <w:p w:rsidR="00325392" w:rsidRPr="00325392" w:rsidRDefault="00325392" w:rsidP="009D645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498" w:right="334"/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 w:rsidRPr="00325392">
        <w:rPr>
          <w:rFonts w:ascii="Verdana" w:eastAsia="Verdana" w:hAnsi="Verdana" w:cs="Calibri"/>
          <w:color w:val="000000"/>
          <w:sz w:val="20"/>
          <w:szCs w:val="20"/>
          <w:lang w:val="es-MX"/>
        </w:rPr>
        <w:t>1.</w:t>
      </w:r>
      <w:r w:rsidR="009D6451"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 Definición y objeto de estudio.</w:t>
      </w:r>
    </w:p>
    <w:p w:rsidR="00325392" w:rsidRPr="00325392" w:rsidRDefault="00325392" w:rsidP="009D64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6"/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 w:rsidRPr="00325392"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2. Antecedentes históricos y distinción con otras disciplinas. </w:t>
      </w:r>
    </w:p>
    <w:p w:rsidR="009D6451" w:rsidRDefault="00325392" w:rsidP="0032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86"/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 w:rsidRPr="00325392"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3. </w:t>
      </w:r>
      <w:r w:rsidR="009D6451">
        <w:rPr>
          <w:rFonts w:ascii="Verdana" w:eastAsia="Verdana" w:hAnsi="Verdana" w:cs="Calibri"/>
          <w:color w:val="000000"/>
          <w:sz w:val="20"/>
          <w:szCs w:val="20"/>
          <w:lang w:val="es-MX"/>
        </w:rPr>
        <w:t>Conceptos principales: extrañamiento, alteridad, eurocentrismo y etnocentrismo.</w:t>
      </w:r>
    </w:p>
    <w:p w:rsidR="00325392" w:rsidRPr="00B67633" w:rsidRDefault="00325392" w:rsidP="0032539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497" w:right="286"/>
        <w:rPr>
          <w:rFonts w:ascii="Verdana" w:eastAsia="Calibri" w:hAnsi="Verdana" w:cs="Calibri"/>
          <w:b/>
          <w:sz w:val="20"/>
          <w:szCs w:val="20"/>
          <w:lang w:val="es-MX"/>
        </w:rPr>
      </w:pPr>
    </w:p>
    <w:p w:rsidR="00325392" w:rsidRPr="00325392" w:rsidRDefault="00325392" w:rsidP="0032539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497" w:right="286"/>
        <w:rPr>
          <w:rFonts w:ascii="Verdana" w:eastAsia="Verdana" w:hAnsi="Verdana" w:cs="Calibri"/>
          <w:b/>
          <w:i/>
          <w:sz w:val="20"/>
          <w:szCs w:val="20"/>
          <w:lang w:val="es-MX"/>
        </w:rPr>
      </w:pPr>
      <w:r w:rsidRPr="00325392">
        <w:rPr>
          <w:rFonts w:ascii="Verdana" w:eastAsia="Calibri" w:hAnsi="Verdana" w:cs="Calibri"/>
          <w:b/>
          <w:sz w:val="20"/>
          <w:szCs w:val="20"/>
          <w:lang w:val="es-MX"/>
        </w:rPr>
        <w:t xml:space="preserve">Unidad 2: </w:t>
      </w:r>
      <w:r w:rsidR="009D6451">
        <w:rPr>
          <w:rFonts w:ascii="Verdana" w:eastAsia="Verdana" w:hAnsi="Verdana" w:cs="Calibri"/>
          <w:b/>
          <w:i/>
          <w:sz w:val="20"/>
          <w:szCs w:val="20"/>
          <w:lang w:val="es-MX"/>
        </w:rPr>
        <w:t>De la antropología clásica a la antropología moderna</w:t>
      </w:r>
    </w:p>
    <w:p w:rsidR="00325392" w:rsidRPr="00325392" w:rsidRDefault="00325392" w:rsidP="0032539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497" w:right="286"/>
        <w:rPr>
          <w:rFonts w:ascii="Verdana" w:eastAsia="Verdana" w:hAnsi="Verdana" w:cs="Calibri"/>
          <w:i/>
          <w:color w:val="000000"/>
          <w:sz w:val="20"/>
          <w:szCs w:val="20"/>
          <w:lang w:val="es-MX"/>
        </w:rPr>
      </w:pPr>
    </w:p>
    <w:p w:rsidR="009D6451" w:rsidRDefault="009D6451" w:rsidP="00325392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286"/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>Principales corrientes antropológicas: evolucionismo</w:t>
      </w:r>
      <w:r w:rsidR="00D53A41">
        <w:rPr>
          <w:rFonts w:ascii="Verdana" w:eastAsia="Verdana" w:hAnsi="Verdana" w:cs="Calibri"/>
          <w:color w:val="000000"/>
          <w:sz w:val="20"/>
          <w:szCs w:val="20"/>
          <w:lang w:val="es-MX"/>
        </w:rPr>
        <w:t>, funcionalismo</w:t>
      </w:r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 y relativismo cultural.</w:t>
      </w:r>
    </w:p>
    <w:p w:rsidR="009D6451" w:rsidRDefault="009D6451" w:rsidP="00325392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286"/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>El método antropológico: etnografía y trabajo de campo</w:t>
      </w:r>
    </w:p>
    <w:p w:rsidR="00D53A41" w:rsidRDefault="00D53A41" w:rsidP="00325392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286"/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Análisis de casos: El etnógrafo y la niña </w:t>
      </w:r>
      <w:proofErr w:type="spellStart"/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>Wichí</w:t>
      </w:r>
      <w:proofErr w:type="spellEnd"/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, caso Cromañón, </w:t>
      </w:r>
      <w:proofErr w:type="spellStart"/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>Damiana</w:t>
      </w:r>
      <w:proofErr w:type="spellEnd"/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 </w:t>
      </w:r>
      <w:proofErr w:type="spellStart"/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>Kryygi</w:t>
      </w:r>
      <w:proofErr w:type="spellEnd"/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>.</w:t>
      </w:r>
    </w:p>
    <w:p w:rsidR="00DC145F" w:rsidRPr="00325392" w:rsidRDefault="00DC145F" w:rsidP="00325392">
      <w:pPr>
        <w:spacing w:after="0" w:line="276" w:lineRule="auto"/>
        <w:rPr>
          <w:rFonts w:ascii="Verdana" w:hAnsi="Verdana" w:cs="Calibri"/>
          <w:sz w:val="20"/>
          <w:szCs w:val="20"/>
          <w:lang w:val="es-MX"/>
        </w:rPr>
      </w:pPr>
    </w:p>
    <w:p w:rsidR="00325392" w:rsidRDefault="00325392" w:rsidP="00325392">
      <w:pPr>
        <w:spacing w:after="0" w:line="276" w:lineRule="auto"/>
        <w:rPr>
          <w:rFonts w:ascii="Verdana" w:eastAsia="Calibri" w:hAnsi="Verdana" w:cs="Calibri"/>
          <w:b/>
          <w:i/>
          <w:sz w:val="20"/>
          <w:szCs w:val="20"/>
          <w:lang w:val="es-MX"/>
        </w:rPr>
      </w:pPr>
      <w:r w:rsidRPr="00325392">
        <w:rPr>
          <w:rFonts w:ascii="Verdana" w:eastAsia="Calibri" w:hAnsi="Verdana" w:cs="Calibri"/>
          <w:b/>
          <w:sz w:val="20"/>
          <w:szCs w:val="20"/>
          <w:lang w:val="es-MX"/>
        </w:rPr>
        <w:t xml:space="preserve">         Unidad 3: </w:t>
      </w:r>
      <w:r w:rsidR="0067388C">
        <w:rPr>
          <w:rFonts w:ascii="Verdana" w:eastAsia="Calibri" w:hAnsi="Verdana" w:cs="Calibri"/>
          <w:b/>
          <w:i/>
          <w:sz w:val="20"/>
          <w:szCs w:val="20"/>
          <w:lang w:val="es-MX"/>
        </w:rPr>
        <w:t>Raza y racismo</w:t>
      </w:r>
    </w:p>
    <w:p w:rsidR="00325392" w:rsidRPr="00325392" w:rsidRDefault="00325392" w:rsidP="00325392">
      <w:pPr>
        <w:spacing w:after="0" w:line="276" w:lineRule="auto"/>
        <w:rPr>
          <w:rFonts w:ascii="Verdana" w:eastAsia="Calibri" w:hAnsi="Verdana" w:cs="Calibri"/>
          <w:b/>
          <w:i/>
          <w:sz w:val="20"/>
          <w:szCs w:val="20"/>
          <w:lang w:val="es-MX"/>
        </w:rPr>
      </w:pPr>
    </w:p>
    <w:p w:rsidR="00325392" w:rsidRPr="0067388C" w:rsidRDefault="0067388C" w:rsidP="0067388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 w:rsidRPr="0067388C">
        <w:rPr>
          <w:rFonts w:ascii="Verdana" w:eastAsia="Verdana" w:hAnsi="Verdana" w:cs="Calibri"/>
          <w:color w:val="000000"/>
          <w:sz w:val="20"/>
          <w:szCs w:val="20"/>
          <w:lang w:val="es-MX"/>
        </w:rPr>
        <w:t xml:space="preserve">Historia y definición del concepto de </w:t>
      </w:r>
      <w:r w:rsidR="009D6451">
        <w:rPr>
          <w:rFonts w:ascii="Verdana" w:eastAsia="Verdana" w:hAnsi="Verdana" w:cs="Calibri"/>
          <w:color w:val="000000"/>
          <w:sz w:val="20"/>
          <w:szCs w:val="20"/>
          <w:lang w:val="es-MX"/>
        </w:rPr>
        <w:t>racismo.</w:t>
      </w:r>
    </w:p>
    <w:p w:rsidR="0067388C" w:rsidRDefault="009D6451" w:rsidP="0067388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>Elementos del pensamiento racista. El racismo como un problema social e histórico.</w:t>
      </w:r>
    </w:p>
    <w:p w:rsidR="009D6451" w:rsidRPr="0067388C" w:rsidRDefault="009D6451" w:rsidP="0067388C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Calibri"/>
          <w:color w:val="000000"/>
          <w:sz w:val="20"/>
          <w:szCs w:val="20"/>
          <w:lang w:val="es-MX"/>
        </w:rPr>
      </w:pPr>
      <w:r>
        <w:rPr>
          <w:rFonts w:ascii="Verdana" w:eastAsia="Verdana" w:hAnsi="Verdana" w:cs="Calibri"/>
          <w:color w:val="000000"/>
          <w:sz w:val="20"/>
          <w:szCs w:val="20"/>
          <w:lang w:val="es-MX"/>
        </w:rPr>
        <w:t>Racismo en Argentina: el mito de la Argentina blanca europea. Estudio de casos.</w:t>
      </w:r>
    </w:p>
    <w:p w:rsidR="00DC145F" w:rsidRPr="00325392" w:rsidRDefault="00DC145F" w:rsidP="00325392">
      <w:pPr>
        <w:spacing w:after="0" w:line="276" w:lineRule="auto"/>
        <w:rPr>
          <w:rFonts w:ascii="Verdana" w:eastAsia="Calibri" w:hAnsi="Verdana" w:cs="Calibri"/>
          <w:sz w:val="20"/>
          <w:szCs w:val="20"/>
          <w:lang w:val="es-MX"/>
        </w:rPr>
      </w:pPr>
    </w:p>
    <w:p w:rsidR="00DC145F" w:rsidRPr="00325392" w:rsidRDefault="00DC145F" w:rsidP="00325392">
      <w:pPr>
        <w:spacing w:after="0" w:line="276" w:lineRule="auto"/>
        <w:rPr>
          <w:rFonts w:ascii="Calibri" w:eastAsia="Calibri" w:hAnsi="Calibri" w:cs="Calibri"/>
          <w:b/>
          <w:lang w:val="es-MX"/>
        </w:rPr>
      </w:pPr>
      <w:r w:rsidRPr="00325392">
        <w:rPr>
          <w:rFonts w:ascii="Calibri" w:eastAsia="Calibri" w:hAnsi="Calibri" w:cs="Calibri"/>
          <w:b/>
          <w:lang w:val="es-MX"/>
        </w:rPr>
        <w:t>Bibliografía:</w:t>
      </w:r>
    </w:p>
    <w:p w:rsidR="00DC145F" w:rsidRDefault="00DC145F" w:rsidP="00DC145F">
      <w:pPr>
        <w:spacing w:after="0"/>
        <w:rPr>
          <w:lang w:val="es-MX"/>
        </w:rPr>
      </w:pPr>
    </w:p>
    <w:p w:rsidR="00BF47EE" w:rsidRPr="00BF47EE" w:rsidRDefault="00DC145F" w:rsidP="00BF47EE">
      <w:pPr>
        <w:spacing w:after="0" w:line="276" w:lineRule="auto"/>
        <w:rPr>
          <w:rFonts w:ascii="Verdana" w:hAnsi="Verdana"/>
          <w:b/>
          <w:sz w:val="20"/>
          <w:szCs w:val="20"/>
          <w:lang w:val="es-MX"/>
        </w:rPr>
      </w:pPr>
      <w:r w:rsidRPr="00BF47EE">
        <w:rPr>
          <w:rFonts w:ascii="Verdana" w:hAnsi="Verdana"/>
          <w:b/>
          <w:sz w:val="20"/>
          <w:szCs w:val="20"/>
          <w:lang w:val="es-MX"/>
        </w:rPr>
        <w:t>Unidad 1:</w:t>
      </w:r>
    </w:p>
    <w:p w:rsidR="00FE386C" w:rsidRPr="00BF47EE" w:rsidRDefault="00FE386C" w:rsidP="00BF47EE">
      <w:pPr>
        <w:spacing w:after="0" w:line="276" w:lineRule="auto"/>
        <w:rPr>
          <w:rFonts w:ascii="Verdana" w:hAnsi="Verdana"/>
          <w:b/>
          <w:sz w:val="20"/>
          <w:szCs w:val="20"/>
          <w:lang w:val="es-MX"/>
        </w:rPr>
      </w:pPr>
      <w:proofErr w:type="spellStart"/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>Boivin</w:t>
      </w:r>
      <w:proofErr w:type="spellEnd"/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 xml:space="preserve">, M., </w:t>
      </w:r>
      <w:proofErr w:type="spellStart"/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>Rosato</w:t>
      </w:r>
      <w:proofErr w:type="spellEnd"/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 xml:space="preserve">, A. y Arribas, V. (2007) “Introducción”. </w:t>
      </w:r>
      <w:r w:rsidRPr="00BF47EE">
        <w:rPr>
          <w:rFonts w:ascii="Verdana" w:eastAsia="Verdana" w:hAnsi="Verdana" w:cs="Verdana"/>
          <w:i/>
          <w:color w:val="000000"/>
          <w:sz w:val="20"/>
          <w:szCs w:val="20"/>
          <w:lang w:val="es-MX"/>
        </w:rPr>
        <w:t xml:space="preserve">Constructores de Otredad. Una introducción a la Antropología Social y </w:t>
      </w:r>
      <w:proofErr w:type="gramStart"/>
      <w:r w:rsidRPr="00BF47EE">
        <w:rPr>
          <w:rFonts w:ascii="Verdana" w:eastAsia="Verdana" w:hAnsi="Verdana" w:cs="Verdana"/>
          <w:i/>
          <w:color w:val="000000"/>
          <w:sz w:val="20"/>
          <w:szCs w:val="20"/>
          <w:lang w:val="es-MX"/>
        </w:rPr>
        <w:t>Cultural</w:t>
      </w:r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>,  Buenos</w:t>
      </w:r>
      <w:proofErr w:type="gramEnd"/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 xml:space="preserve"> Aires, Antropofagia. </w:t>
      </w:r>
    </w:p>
    <w:p w:rsidR="00325392" w:rsidRPr="00BF47EE" w:rsidRDefault="00325392" w:rsidP="0032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Arial"/>
          <w:color w:val="000000"/>
          <w:sz w:val="20"/>
          <w:szCs w:val="20"/>
          <w:lang w:val="es-MX"/>
        </w:rPr>
      </w:pPr>
      <w:proofErr w:type="spellStart"/>
      <w:r w:rsidRPr="00BF47EE">
        <w:rPr>
          <w:rFonts w:ascii="Verdana" w:eastAsia="Verdana" w:hAnsi="Verdana" w:cs="Arial"/>
          <w:color w:val="000000"/>
          <w:sz w:val="20"/>
          <w:szCs w:val="20"/>
          <w:lang w:val="es-MX"/>
        </w:rPr>
        <w:t>Krotz</w:t>
      </w:r>
      <w:proofErr w:type="spellEnd"/>
      <w:r w:rsidRPr="00BF47EE">
        <w:rPr>
          <w:rFonts w:ascii="Verdana" w:eastAsia="Verdana" w:hAnsi="Verdana" w:cs="Arial"/>
          <w:color w:val="000000"/>
          <w:sz w:val="20"/>
          <w:szCs w:val="20"/>
          <w:lang w:val="es-MX"/>
        </w:rPr>
        <w:t xml:space="preserve">, Esteban. 1994. “Alteridad y pregunta antropológica”. </w:t>
      </w:r>
      <w:r w:rsidRPr="00BF47EE">
        <w:rPr>
          <w:rFonts w:ascii="Verdana" w:eastAsia="Verdana" w:hAnsi="Verdana" w:cs="Arial"/>
          <w:i/>
          <w:color w:val="000000"/>
          <w:sz w:val="20"/>
          <w:szCs w:val="20"/>
          <w:lang w:val="es-MX"/>
        </w:rPr>
        <w:t xml:space="preserve">Alteridades </w:t>
      </w:r>
      <w:r w:rsidRPr="00BF47EE">
        <w:rPr>
          <w:rFonts w:ascii="Verdana" w:eastAsia="Verdana" w:hAnsi="Verdana" w:cs="Arial"/>
          <w:color w:val="000000"/>
          <w:sz w:val="20"/>
          <w:szCs w:val="20"/>
          <w:lang w:val="es-MX"/>
        </w:rPr>
        <w:t xml:space="preserve">4(8): 5-11. </w:t>
      </w:r>
    </w:p>
    <w:p w:rsidR="00325392" w:rsidRPr="00BF47EE" w:rsidRDefault="00325392" w:rsidP="0032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Arial"/>
          <w:color w:val="000000"/>
          <w:sz w:val="20"/>
          <w:szCs w:val="20"/>
          <w:lang w:val="es-MX"/>
        </w:rPr>
      </w:pPr>
      <w:r w:rsidRPr="00BF47EE">
        <w:rPr>
          <w:rFonts w:ascii="Verdana" w:eastAsia="Verdana" w:hAnsi="Verdana" w:cs="Arial"/>
          <w:color w:val="000000"/>
          <w:sz w:val="20"/>
          <w:szCs w:val="20"/>
          <w:lang w:val="es-MX"/>
        </w:rPr>
        <w:t>Manual de Antropología (2000). Educación Adultos MEGCBA. Selección.</w:t>
      </w:r>
    </w:p>
    <w:p w:rsidR="00325392" w:rsidRPr="00BF47EE" w:rsidRDefault="00325392" w:rsidP="00325392">
      <w:pPr>
        <w:pStyle w:val="Header"/>
        <w:tabs>
          <w:tab w:val="left" w:pos="486"/>
          <w:tab w:val="right" w:pos="9637"/>
        </w:tabs>
        <w:spacing w:line="276" w:lineRule="auto"/>
        <w:jc w:val="both"/>
        <w:rPr>
          <w:rFonts w:ascii="Verdana" w:eastAsia="Verdana" w:hAnsi="Verdana" w:cs="Arial"/>
          <w:sz w:val="20"/>
          <w:szCs w:val="20"/>
          <w:lang w:val="es-MX"/>
        </w:rPr>
      </w:pPr>
      <w:r w:rsidRPr="00BF47EE">
        <w:rPr>
          <w:rFonts w:ascii="Verdana" w:eastAsia="Verdana" w:hAnsi="Verdana" w:cs="Arial"/>
          <w:sz w:val="20"/>
          <w:szCs w:val="20"/>
          <w:lang w:val="es-MX"/>
        </w:rPr>
        <w:t xml:space="preserve">Melgarejo, Mariana. 2018. </w:t>
      </w:r>
      <w:r w:rsidRPr="00BF47EE">
        <w:rPr>
          <w:rFonts w:ascii="Verdana" w:eastAsia="Verdana" w:hAnsi="Verdana" w:cs="Arial"/>
          <w:i/>
          <w:sz w:val="20"/>
          <w:szCs w:val="20"/>
          <w:lang w:val="es-MX"/>
        </w:rPr>
        <w:t xml:space="preserve">Antropología Cultural. </w:t>
      </w:r>
      <w:r w:rsidRPr="00BF47EE">
        <w:rPr>
          <w:rFonts w:ascii="Verdana" w:eastAsia="Verdana" w:hAnsi="Verdana" w:cs="Arial"/>
          <w:sz w:val="20"/>
          <w:szCs w:val="20"/>
          <w:lang w:val="es-MX"/>
        </w:rPr>
        <w:t>Buenos Aires, Ediciones del Aula taller. Selección</w:t>
      </w:r>
    </w:p>
    <w:p w:rsidR="00325392" w:rsidRPr="00BF47EE" w:rsidRDefault="00325392" w:rsidP="00FE386C">
      <w:pPr>
        <w:pStyle w:val="Header"/>
        <w:tabs>
          <w:tab w:val="left" w:pos="486"/>
          <w:tab w:val="right" w:pos="963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BF47EE">
        <w:rPr>
          <w:rFonts w:ascii="Verdana" w:hAnsi="Verdana" w:cs="Arial"/>
          <w:sz w:val="20"/>
          <w:szCs w:val="20"/>
        </w:rPr>
        <w:t>Mollison</w:t>
      </w:r>
      <w:proofErr w:type="spellEnd"/>
      <w:r w:rsidRPr="00BF47EE">
        <w:rPr>
          <w:rFonts w:ascii="Verdana" w:hAnsi="Verdana" w:cs="Arial"/>
          <w:sz w:val="20"/>
          <w:szCs w:val="20"/>
        </w:rPr>
        <w:t xml:space="preserve">, J. (2015). </w:t>
      </w:r>
      <w:proofErr w:type="spellStart"/>
      <w:r w:rsidRPr="00BF47EE">
        <w:rPr>
          <w:rFonts w:ascii="Verdana" w:hAnsi="Verdana" w:cs="Arial"/>
          <w:sz w:val="20"/>
          <w:szCs w:val="20"/>
        </w:rPr>
        <w:t>Playground</w:t>
      </w:r>
      <w:proofErr w:type="spellEnd"/>
      <w:r w:rsidRPr="00BF47EE">
        <w:rPr>
          <w:rFonts w:ascii="Verdana" w:hAnsi="Verdana" w:cs="Arial"/>
          <w:sz w:val="20"/>
          <w:szCs w:val="20"/>
        </w:rPr>
        <w:t xml:space="preserve">. Muestra fotográfica disponible en: </w:t>
      </w:r>
      <w:hyperlink r:id="rId6" w:history="1">
        <w:r w:rsidRPr="00BF47EE">
          <w:rPr>
            <w:rStyle w:val="Hyperlink"/>
            <w:rFonts w:ascii="Verdana" w:hAnsi="Verdana" w:cs="Arial"/>
            <w:sz w:val="20"/>
            <w:szCs w:val="20"/>
          </w:rPr>
          <w:t xml:space="preserve">https://www.jamesmollison.com/pla </w:t>
        </w:r>
        <w:proofErr w:type="spellStart"/>
        <w:r w:rsidRPr="00BF47EE">
          <w:rPr>
            <w:rStyle w:val="Hyperlink"/>
            <w:rFonts w:ascii="Verdana" w:hAnsi="Verdana" w:cs="Arial"/>
            <w:sz w:val="20"/>
            <w:szCs w:val="20"/>
          </w:rPr>
          <w:t>yground</w:t>
        </w:r>
        <w:proofErr w:type="spellEnd"/>
      </w:hyperlink>
    </w:p>
    <w:p w:rsidR="00FE386C" w:rsidRPr="00BF47EE" w:rsidRDefault="00FE386C" w:rsidP="00FE386C">
      <w:pPr>
        <w:widowControl w:val="0"/>
        <w:spacing w:after="0"/>
        <w:rPr>
          <w:rFonts w:ascii="Verdana" w:eastAsia="Verdana" w:hAnsi="Verdana" w:cs="Verdana"/>
          <w:sz w:val="20"/>
          <w:szCs w:val="20"/>
          <w:lang w:val="es-MX"/>
        </w:rPr>
      </w:pPr>
      <w:r w:rsidRPr="00BF47EE">
        <w:rPr>
          <w:rFonts w:ascii="Verdana" w:eastAsia="Verdana" w:hAnsi="Verdana" w:cs="Verdana"/>
          <w:sz w:val="20"/>
          <w:szCs w:val="20"/>
          <w:lang w:val="es-MX"/>
        </w:rPr>
        <w:t>Restrepo, E. (2018): Etnografía: alcances, técnicas y éticas. Capítulo 1: Labor etnográfica. Bogotá.</w:t>
      </w:r>
    </w:p>
    <w:p w:rsidR="00325392" w:rsidRPr="00BF47EE" w:rsidRDefault="00325392" w:rsidP="00FE386C">
      <w:pPr>
        <w:widowControl w:val="0"/>
        <w:spacing w:after="0"/>
        <w:rPr>
          <w:rFonts w:ascii="Verdana" w:eastAsia="Verdana" w:hAnsi="Verdana" w:cs="Verdana"/>
          <w:sz w:val="20"/>
          <w:szCs w:val="20"/>
          <w:lang w:val="es-MX"/>
        </w:rPr>
      </w:pPr>
      <w:r w:rsidRPr="00BF47EE">
        <w:rPr>
          <w:rFonts w:ascii="Verdana" w:eastAsia="Verdana" w:hAnsi="Verdana" w:cs="Arial"/>
          <w:sz w:val="20"/>
          <w:szCs w:val="20"/>
          <w:lang w:val="es-MX"/>
        </w:rPr>
        <w:t xml:space="preserve">Ribeiro </w:t>
      </w:r>
      <w:proofErr w:type="spellStart"/>
      <w:r w:rsidRPr="00BF47EE">
        <w:rPr>
          <w:rFonts w:ascii="Verdana" w:eastAsia="Verdana" w:hAnsi="Verdana" w:cs="Arial"/>
          <w:sz w:val="20"/>
          <w:szCs w:val="20"/>
          <w:lang w:val="es-MX"/>
        </w:rPr>
        <w:t>Lins</w:t>
      </w:r>
      <w:proofErr w:type="spellEnd"/>
      <w:r w:rsidRPr="00BF47EE">
        <w:rPr>
          <w:rFonts w:ascii="Verdana" w:eastAsia="Verdana" w:hAnsi="Verdana" w:cs="Arial"/>
          <w:sz w:val="20"/>
          <w:szCs w:val="20"/>
          <w:lang w:val="es-MX"/>
        </w:rPr>
        <w:t xml:space="preserve">, G. (1989) </w:t>
      </w:r>
      <w:proofErr w:type="spellStart"/>
      <w:r w:rsidRPr="00BF47EE">
        <w:rPr>
          <w:rFonts w:ascii="Verdana" w:hAnsi="Verdana" w:cs="Arial"/>
          <w:i/>
          <w:sz w:val="20"/>
          <w:szCs w:val="20"/>
          <w:lang w:val="es-MX"/>
        </w:rPr>
        <w:t>Descotidianizar</w:t>
      </w:r>
      <w:proofErr w:type="spellEnd"/>
      <w:r w:rsidRPr="00BF47EE">
        <w:rPr>
          <w:rFonts w:ascii="Verdana" w:hAnsi="Verdana" w:cs="Arial"/>
          <w:i/>
          <w:sz w:val="20"/>
          <w:szCs w:val="20"/>
          <w:lang w:val="es-MX"/>
        </w:rPr>
        <w:t xml:space="preserve">. Extrañamiento y conciencia práctica, un </w:t>
      </w:r>
      <w:r w:rsidRPr="00BF47EE">
        <w:rPr>
          <w:rFonts w:ascii="Verdana" w:hAnsi="Verdana" w:cs="Arial"/>
          <w:i/>
          <w:sz w:val="20"/>
          <w:szCs w:val="20"/>
          <w:lang w:val="es-MX"/>
        </w:rPr>
        <w:lastRenderedPageBreak/>
        <w:t>ensayo sobre la perspectiva antropológica</w:t>
      </w:r>
      <w:r w:rsidRPr="00BF47EE">
        <w:rPr>
          <w:rFonts w:ascii="Verdana" w:hAnsi="Verdana" w:cs="Arial"/>
          <w:sz w:val="20"/>
          <w:szCs w:val="20"/>
          <w:lang w:val="es-MX"/>
        </w:rPr>
        <w:t>. Fragmentos.</w:t>
      </w:r>
    </w:p>
    <w:p w:rsidR="00DC145F" w:rsidRPr="00BF47EE" w:rsidRDefault="00FE386C" w:rsidP="0032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 w:cs="Arial"/>
          <w:sz w:val="20"/>
          <w:szCs w:val="20"/>
          <w:lang w:val="es-MX"/>
        </w:rPr>
      </w:pPr>
      <w:r w:rsidRPr="00BF47EE">
        <w:rPr>
          <w:rFonts w:ascii="Verdana" w:hAnsi="Verdana" w:cs="FranklinGothicITCbyBT-Demi"/>
          <w:sz w:val="20"/>
          <w:szCs w:val="20"/>
          <w:lang w:val="es-MX"/>
        </w:rPr>
        <w:t xml:space="preserve">Material del EAAF: </w:t>
      </w:r>
      <w:hyperlink r:id="rId7" w:history="1">
        <w:r w:rsidRPr="00BF47EE">
          <w:rPr>
            <w:rStyle w:val="Hyperlink"/>
            <w:rFonts w:ascii="Verdana" w:hAnsi="Verdana" w:cs="FranklinGothicITCbyBT-Demi"/>
            <w:sz w:val="20"/>
            <w:szCs w:val="20"/>
            <w:lang w:val="es-MX"/>
          </w:rPr>
          <w:t>https://eaaf.org/</w:t>
        </w:r>
      </w:hyperlink>
    </w:p>
    <w:p w:rsidR="00FE386C" w:rsidRPr="00BF47EE" w:rsidRDefault="00FE386C" w:rsidP="0032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 w:cs="Arial"/>
          <w:b/>
          <w:sz w:val="20"/>
          <w:szCs w:val="20"/>
          <w:lang w:val="es-MX"/>
        </w:rPr>
      </w:pPr>
    </w:p>
    <w:p w:rsidR="00DC145F" w:rsidRPr="00BF47EE" w:rsidRDefault="00DC145F" w:rsidP="0032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hAnsi="Verdana" w:cs="Arial"/>
          <w:b/>
          <w:sz w:val="20"/>
          <w:szCs w:val="20"/>
          <w:lang w:val="es-MX"/>
        </w:rPr>
      </w:pPr>
      <w:r w:rsidRPr="00BF47EE">
        <w:rPr>
          <w:rFonts w:ascii="Verdana" w:hAnsi="Verdana" w:cs="Arial"/>
          <w:b/>
          <w:sz w:val="20"/>
          <w:szCs w:val="20"/>
          <w:lang w:val="es-MX"/>
        </w:rPr>
        <w:t>Unidad 2:</w:t>
      </w:r>
    </w:p>
    <w:p w:rsidR="00BF47EE" w:rsidRPr="00BF47EE" w:rsidRDefault="00BF47EE" w:rsidP="00BF47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Arial"/>
          <w:color w:val="000000"/>
          <w:sz w:val="20"/>
          <w:szCs w:val="20"/>
          <w:lang w:val="es-MX"/>
        </w:rPr>
      </w:pPr>
      <w:proofErr w:type="spellStart"/>
      <w:r w:rsidRPr="00BF47EE">
        <w:rPr>
          <w:rFonts w:ascii="Verdana" w:hAnsi="Verdana"/>
          <w:spacing w:val="3"/>
          <w:sz w:val="20"/>
          <w:szCs w:val="20"/>
          <w:shd w:val="clear" w:color="auto" w:fill="F1F3F4"/>
          <w:lang w:val="es-MX"/>
        </w:rPr>
        <w:t>Bourgois</w:t>
      </w:r>
      <w:proofErr w:type="spellEnd"/>
      <w:r w:rsidRPr="00BF47EE">
        <w:rPr>
          <w:rFonts w:ascii="Verdana" w:hAnsi="Verdana"/>
          <w:spacing w:val="3"/>
          <w:sz w:val="20"/>
          <w:szCs w:val="20"/>
          <w:shd w:val="clear" w:color="auto" w:fill="F1F3F4"/>
          <w:lang w:val="es-MX"/>
        </w:rPr>
        <w:t>, P. En busca de respeto: vendiendo crack en Harlem. Selección</w:t>
      </w:r>
    </w:p>
    <w:p w:rsidR="00325392" w:rsidRPr="00BF47EE" w:rsidRDefault="00325392" w:rsidP="0032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color w:val="000000"/>
          <w:sz w:val="20"/>
          <w:szCs w:val="20"/>
          <w:lang w:val="es-MX"/>
        </w:rPr>
      </w:pPr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>Manual de Antropología (2000). Educación Adultos MEGCBA. Selección.</w:t>
      </w:r>
    </w:p>
    <w:p w:rsidR="00325392" w:rsidRPr="00BF47EE" w:rsidRDefault="00325392" w:rsidP="00325392">
      <w:pPr>
        <w:pStyle w:val="Header"/>
        <w:tabs>
          <w:tab w:val="left" w:pos="486"/>
          <w:tab w:val="right" w:pos="9637"/>
        </w:tabs>
        <w:spacing w:line="276" w:lineRule="auto"/>
        <w:jc w:val="both"/>
        <w:rPr>
          <w:rFonts w:ascii="Verdana" w:eastAsia="Verdana" w:hAnsi="Verdana" w:cs="Arial"/>
          <w:sz w:val="20"/>
          <w:szCs w:val="20"/>
          <w:lang w:val="es-MX"/>
        </w:rPr>
      </w:pPr>
      <w:r w:rsidRPr="00BF47EE">
        <w:rPr>
          <w:rFonts w:ascii="Verdana" w:eastAsia="Verdana" w:hAnsi="Verdana" w:cs="Arial"/>
          <w:sz w:val="20"/>
          <w:szCs w:val="20"/>
          <w:lang w:val="es-MX"/>
        </w:rPr>
        <w:t xml:space="preserve">Melgarejo, Mariana. 2018. </w:t>
      </w:r>
      <w:r w:rsidRPr="00BF47EE">
        <w:rPr>
          <w:rFonts w:ascii="Verdana" w:eastAsia="Verdana" w:hAnsi="Verdana" w:cs="Arial"/>
          <w:i/>
          <w:sz w:val="20"/>
          <w:szCs w:val="20"/>
          <w:lang w:val="es-MX"/>
        </w:rPr>
        <w:t xml:space="preserve">Antropología Cultural. </w:t>
      </w:r>
      <w:r w:rsidRPr="00BF47EE">
        <w:rPr>
          <w:rFonts w:ascii="Verdana" w:eastAsia="Verdana" w:hAnsi="Verdana" w:cs="Arial"/>
          <w:sz w:val="20"/>
          <w:szCs w:val="20"/>
          <w:lang w:val="es-MX"/>
        </w:rPr>
        <w:t>Buenos Aires, Ediciones del Aula taller. Selección</w:t>
      </w:r>
    </w:p>
    <w:p w:rsidR="00325392" w:rsidRPr="00BF47EE" w:rsidRDefault="00325392" w:rsidP="00FE3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359"/>
        <w:rPr>
          <w:rFonts w:ascii="Verdana" w:eastAsia="Verdana" w:hAnsi="Verdana" w:cs="Verdana"/>
          <w:color w:val="000000"/>
          <w:sz w:val="20"/>
          <w:szCs w:val="20"/>
          <w:lang w:val="es-MX"/>
        </w:rPr>
      </w:pPr>
      <w:r w:rsidRPr="00BF47EE">
        <w:rPr>
          <w:rFonts w:ascii="Verdana" w:hAnsi="Verdana"/>
          <w:sz w:val="20"/>
          <w:szCs w:val="20"/>
          <w:lang w:val="es-MX"/>
        </w:rPr>
        <w:t xml:space="preserve">Gobierno de la Ciudad de Buenos Aires. </w:t>
      </w:r>
      <w:r w:rsidRPr="00BF47EE">
        <w:rPr>
          <w:rFonts w:ascii="Verdana" w:hAnsi="Verdana"/>
          <w:sz w:val="20"/>
          <w:szCs w:val="20"/>
          <w:lang w:val="es-AR"/>
        </w:rPr>
        <w:t>Formación ética y ciudadana: diversidad e interculturalidad: identidad y derechos</w:t>
      </w:r>
      <w:bookmarkStart w:id="0" w:name="_GoBack"/>
      <w:bookmarkEnd w:id="0"/>
      <w:r w:rsidRPr="00BF47EE">
        <w:rPr>
          <w:rFonts w:ascii="Verdana" w:hAnsi="Verdana"/>
          <w:sz w:val="20"/>
          <w:szCs w:val="20"/>
          <w:lang w:val="es-AR"/>
        </w:rPr>
        <w:t xml:space="preserve">. - 1a edición para el profesor - Ciudad Autónoma de Buenos Aires: Gobierno de la Ciudad de Buenos Aires. Ministerio de Educación e Innovación, 2018. Libro digital, PDF - (Profundización NES) </w:t>
      </w:r>
      <w:r w:rsidRPr="00BF47EE">
        <w:rPr>
          <w:rFonts w:ascii="Verdana" w:eastAsia="Verdana" w:hAnsi="Verdana" w:cs="Verdana"/>
          <w:color w:val="000000"/>
          <w:sz w:val="20"/>
          <w:szCs w:val="20"/>
          <w:lang w:val="es-AR"/>
        </w:rPr>
        <w:t xml:space="preserve">En: </w:t>
      </w:r>
      <w:hyperlink r:id="rId8" w:history="1">
        <w:r w:rsidRPr="00BF47EE">
          <w:rPr>
            <w:rStyle w:val="Hyperlink"/>
            <w:rFonts w:ascii="Verdana" w:eastAsia="Verdana" w:hAnsi="Verdana" w:cs="Verdana"/>
            <w:sz w:val="20"/>
            <w:szCs w:val="20"/>
            <w:lang w:val="es-MX"/>
          </w:rPr>
          <w:t>file:///C:/Users/usuario/Desktop/LANGE%20LEY/FEC/profnes_feyc_-_diversidad_e_interculturalidad_-_docentes_-_final.pdf</w:t>
        </w:r>
      </w:hyperlink>
    </w:p>
    <w:p w:rsidR="00325392" w:rsidRPr="00BF47EE" w:rsidRDefault="00325392" w:rsidP="00FE386C">
      <w:pPr>
        <w:pStyle w:val="LO-normal"/>
        <w:widowControl w:val="0"/>
        <w:ind w:right="25"/>
        <w:jc w:val="both"/>
        <w:rPr>
          <w:rFonts w:ascii="Verdana" w:eastAsia="Calibri" w:hAnsi="Verdana" w:cs="Calibri"/>
          <w:sz w:val="20"/>
          <w:szCs w:val="20"/>
        </w:rPr>
      </w:pPr>
      <w:r w:rsidRPr="00BF47EE">
        <w:rPr>
          <w:rFonts w:ascii="Verdana" w:eastAsia="Calibri" w:hAnsi="Verdana" w:cs="Calibri"/>
          <w:sz w:val="20"/>
          <w:szCs w:val="20"/>
        </w:rPr>
        <w:t xml:space="preserve">Programa Nacional de Educación Sexual Integral y Plan ENIA (2021): Clase Nro. 2: </w:t>
      </w:r>
      <w:r w:rsidRPr="00BF47EE">
        <w:rPr>
          <w:rFonts w:ascii="Verdana" w:eastAsia="Calibri" w:hAnsi="Verdana" w:cs="Calibri"/>
          <w:i/>
          <w:sz w:val="20"/>
          <w:szCs w:val="20"/>
        </w:rPr>
        <w:t>Masculinidades diversas en la escuela.</w:t>
      </w:r>
      <w:r w:rsidRPr="00BF47EE">
        <w:rPr>
          <w:rFonts w:ascii="Verdana" w:eastAsia="Calibri" w:hAnsi="Verdana" w:cs="Calibri"/>
          <w:sz w:val="20"/>
          <w:szCs w:val="20"/>
        </w:rPr>
        <w:t xml:space="preserve"> Curso virtual: ESI en la escuela: el abordaje pedagógico del Embarazo No Intencional en la Adolescencia (ENIA) II. Buenos Aires: Ministerio de Educación de la Nación. </w:t>
      </w:r>
    </w:p>
    <w:p w:rsidR="00BF47EE" w:rsidRPr="00BF47EE" w:rsidRDefault="00BF47EE" w:rsidP="00BF47EE">
      <w:pPr>
        <w:widowControl w:val="0"/>
        <w:spacing w:after="0"/>
        <w:rPr>
          <w:rFonts w:ascii="Verdana" w:eastAsia="Verdana" w:hAnsi="Verdana" w:cs="Verdana"/>
          <w:sz w:val="20"/>
          <w:szCs w:val="20"/>
          <w:lang w:val="es-MX"/>
        </w:rPr>
      </w:pPr>
      <w:r w:rsidRPr="00BF47EE">
        <w:rPr>
          <w:rFonts w:ascii="Verdana" w:eastAsia="Verdana" w:hAnsi="Verdana" w:cs="Verdana"/>
          <w:sz w:val="20"/>
          <w:szCs w:val="20"/>
          <w:lang w:val="es-MX"/>
        </w:rPr>
        <w:t>Restrepo, E. (2018): Etnografía: alcances, técnicas y éticas. Capítulo 1: Labor etnográfica. Bogotá.</w:t>
      </w:r>
    </w:p>
    <w:p w:rsidR="00BF47EE" w:rsidRPr="00BF47EE" w:rsidRDefault="00BF47EE" w:rsidP="00BF47EE">
      <w:pPr>
        <w:widowControl w:val="0"/>
        <w:spacing w:after="0"/>
        <w:rPr>
          <w:rFonts w:ascii="Verdana" w:eastAsia="Verdana" w:hAnsi="Verdana" w:cs="Verdana"/>
          <w:sz w:val="20"/>
          <w:szCs w:val="20"/>
          <w:lang w:val="es-MX"/>
        </w:rPr>
      </w:pPr>
      <w:r w:rsidRPr="00BF47EE">
        <w:rPr>
          <w:rFonts w:ascii="Verdana" w:eastAsia="Verdana" w:hAnsi="Verdana" w:cs="Arial"/>
          <w:sz w:val="20"/>
          <w:szCs w:val="20"/>
          <w:lang w:val="es-MX"/>
        </w:rPr>
        <w:t xml:space="preserve">Ribeiro </w:t>
      </w:r>
      <w:proofErr w:type="spellStart"/>
      <w:r w:rsidRPr="00BF47EE">
        <w:rPr>
          <w:rFonts w:ascii="Verdana" w:eastAsia="Verdana" w:hAnsi="Verdana" w:cs="Arial"/>
          <w:sz w:val="20"/>
          <w:szCs w:val="20"/>
          <w:lang w:val="es-MX"/>
        </w:rPr>
        <w:t>Lins</w:t>
      </w:r>
      <w:proofErr w:type="spellEnd"/>
      <w:r w:rsidRPr="00BF47EE">
        <w:rPr>
          <w:rFonts w:ascii="Verdana" w:eastAsia="Verdana" w:hAnsi="Verdana" w:cs="Arial"/>
          <w:sz w:val="20"/>
          <w:szCs w:val="20"/>
          <w:lang w:val="es-MX"/>
        </w:rPr>
        <w:t xml:space="preserve">, G. (1989) </w:t>
      </w:r>
      <w:proofErr w:type="spellStart"/>
      <w:r w:rsidRPr="00BF47EE">
        <w:rPr>
          <w:rFonts w:ascii="Verdana" w:hAnsi="Verdana" w:cs="Arial"/>
          <w:i/>
          <w:sz w:val="20"/>
          <w:szCs w:val="20"/>
          <w:lang w:val="es-MX"/>
        </w:rPr>
        <w:t>Descotidianizar</w:t>
      </w:r>
      <w:proofErr w:type="spellEnd"/>
      <w:r w:rsidRPr="00BF47EE">
        <w:rPr>
          <w:rFonts w:ascii="Verdana" w:hAnsi="Verdana" w:cs="Arial"/>
          <w:i/>
          <w:sz w:val="20"/>
          <w:szCs w:val="20"/>
          <w:lang w:val="es-MX"/>
        </w:rPr>
        <w:t>. Extrañamiento y conciencia práctica, un ensayo sobre la perspectiva antropológica</w:t>
      </w:r>
      <w:r w:rsidRPr="00BF47EE">
        <w:rPr>
          <w:rFonts w:ascii="Verdana" w:hAnsi="Verdana" w:cs="Arial"/>
          <w:sz w:val="20"/>
          <w:szCs w:val="20"/>
          <w:lang w:val="es-MX"/>
        </w:rPr>
        <w:t>. Fragmentos.</w:t>
      </w:r>
    </w:p>
    <w:p w:rsidR="00BF47EE" w:rsidRPr="00BF47EE" w:rsidRDefault="00BF47EE" w:rsidP="00BF47EE">
      <w:pPr>
        <w:widowControl w:val="0"/>
        <w:spacing w:after="0"/>
        <w:ind w:right="1134"/>
        <w:rPr>
          <w:rFonts w:ascii="Verdana" w:eastAsia="Verdana" w:hAnsi="Verdana" w:cs="Verdana"/>
          <w:sz w:val="20"/>
          <w:szCs w:val="20"/>
          <w:lang w:val="es-MX"/>
        </w:rPr>
      </w:pPr>
      <w:proofErr w:type="spellStart"/>
      <w:r w:rsidRPr="00BF47EE">
        <w:rPr>
          <w:rFonts w:ascii="Verdana" w:eastAsia="Verdana" w:hAnsi="Verdana" w:cs="Verdana"/>
          <w:sz w:val="20"/>
          <w:szCs w:val="20"/>
          <w:lang w:val="es-MX"/>
        </w:rPr>
        <w:t>Zenobi</w:t>
      </w:r>
      <w:proofErr w:type="spellEnd"/>
      <w:r w:rsidRPr="00BF47EE">
        <w:rPr>
          <w:rFonts w:ascii="Verdana" w:eastAsia="Verdana" w:hAnsi="Verdana" w:cs="Verdana"/>
          <w:sz w:val="20"/>
          <w:szCs w:val="20"/>
          <w:lang w:val="es-MX"/>
        </w:rPr>
        <w:t xml:space="preserve">, D. El antropólogo como espía. El caso de </w:t>
      </w:r>
      <w:proofErr w:type="spellStart"/>
      <w:r w:rsidRPr="00BF47EE">
        <w:rPr>
          <w:rFonts w:ascii="Verdana" w:eastAsia="Verdana" w:hAnsi="Verdana" w:cs="Verdana"/>
          <w:sz w:val="20"/>
          <w:szCs w:val="20"/>
          <w:lang w:val="es-MX"/>
        </w:rPr>
        <w:t>Cromañon</w:t>
      </w:r>
      <w:proofErr w:type="spellEnd"/>
      <w:r w:rsidRPr="00BF47EE">
        <w:rPr>
          <w:rFonts w:ascii="Verdana" w:eastAsia="Verdana" w:hAnsi="Verdana" w:cs="Verdana"/>
          <w:sz w:val="20"/>
          <w:szCs w:val="20"/>
          <w:lang w:val="es-MX"/>
        </w:rPr>
        <w:t>. Selección.</w:t>
      </w:r>
    </w:p>
    <w:p w:rsidR="00DC145F" w:rsidRPr="00BF47EE" w:rsidRDefault="00DC145F" w:rsidP="00325392">
      <w:pPr>
        <w:pStyle w:val="ListParagraph"/>
        <w:tabs>
          <w:tab w:val="left" w:pos="142"/>
        </w:tabs>
        <w:ind w:left="0"/>
        <w:jc w:val="both"/>
        <w:rPr>
          <w:rFonts w:ascii="Verdana" w:hAnsi="Verdana"/>
          <w:sz w:val="20"/>
          <w:szCs w:val="20"/>
          <w:lang w:val="es-AR"/>
        </w:rPr>
      </w:pPr>
    </w:p>
    <w:p w:rsidR="00DC145F" w:rsidRPr="00BF47EE" w:rsidRDefault="00DC145F" w:rsidP="00325392">
      <w:pPr>
        <w:pStyle w:val="ListParagraph"/>
        <w:tabs>
          <w:tab w:val="left" w:pos="142"/>
        </w:tabs>
        <w:ind w:left="0"/>
        <w:jc w:val="both"/>
        <w:rPr>
          <w:rFonts w:ascii="Verdana" w:hAnsi="Verdana"/>
          <w:b/>
          <w:sz w:val="20"/>
          <w:szCs w:val="20"/>
          <w:lang w:val="es-MX"/>
        </w:rPr>
      </w:pPr>
      <w:r w:rsidRPr="00BF47EE">
        <w:rPr>
          <w:rFonts w:ascii="Verdana" w:hAnsi="Verdana"/>
          <w:b/>
          <w:sz w:val="20"/>
          <w:szCs w:val="20"/>
          <w:lang w:val="es-MX"/>
        </w:rPr>
        <w:t>Unidad 3:</w:t>
      </w:r>
    </w:p>
    <w:p w:rsidR="00325392" w:rsidRPr="00BF47EE" w:rsidRDefault="00325392" w:rsidP="003253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20"/>
          <w:szCs w:val="20"/>
          <w:lang w:val="es-MX"/>
        </w:rPr>
      </w:pPr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>Manual de Antropología (2000). Educación Adultos MEGCBA. Selección.</w:t>
      </w:r>
    </w:p>
    <w:p w:rsidR="00DC145F" w:rsidRDefault="00285D7D" w:rsidP="00B67633">
      <w:pPr>
        <w:pStyle w:val="Header"/>
        <w:tabs>
          <w:tab w:val="left" w:pos="486"/>
          <w:tab w:val="right" w:pos="9637"/>
        </w:tabs>
        <w:spacing w:line="276" w:lineRule="auto"/>
        <w:jc w:val="both"/>
        <w:rPr>
          <w:rFonts w:ascii="Verdana" w:eastAsia="Verdana" w:hAnsi="Verdana" w:cs="Arial"/>
          <w:sz w:val="20"/>
          <w:szCs w:val="20"/>
          <w:lang w:val="es-MX"/>
        </w:rPr>
      </w:pPr>
      <w:r>
        <w:rPr>
          <w:rFonts w:ascii="Verdana" w:eastAsia="Verdana" w:hAnsi="Verdana" w:cs="Arial"/>
          <w:sz w:val="20"/>
          <w:szCs w:val="20"/>
          <w:lang w:val="es-MX"/>
        </w:rPr>
        <w:t>Melgarejo, M. (</w:t>
      </w:r>
      <w:r w:rsidR="00325392" w:rsidRPr="00BF47EE">
        <w:rPr>
          <w:rFonts w:ascii="Verdana" w:eastAsia="Verdana" w:hAnsi="Verdana" w:cs="Arial"/>
          <w:sz w:val="20"/>
          <w:szCs w:val="20"/>
          <w:lang w:val="es-MX"/>
        </w:rPr>
        <w:t>2018</w:t>
      </w:r>
      <w:r>
        <w:rPr>
          <w:rFonts w:ascii="Verdana" w:eastAsia="Verdana" w:hAnsi="Verdana" w:cs="Arial"/>
          <w:sz w:val="20"/>
          <w:szCs w:val="20"/>
          <w:lang w:val="es-MX"/>
        </w:rPr>
        <w:t>)</w:t>
      </w:r>
      <w:r w:rsidR="00325392" w:rsidRPr="00BF47EE">
        <w:rPr>
          <w:rFonts w:ascii="Verdana" w:eastAsia="Verdana" w:hAnsi="Verdana" w:cs="Arial"/>
          <w:sz w:val="20"/>
          <w:szCs w:val="20"/>
          <w:lang w:val="es-MX"/>
        </w:rPr>
        <w:t xml:space="preserve">. </w:t>
      </w:r>
      <w:r w:rsidR="00325392" w:rsidRPr="00BF47EE">
        <w:rPr>
          <w:rFonts w:ascii="Verdana" w:eastAsia="Verdana" w:hAnsi="Verdana" w:cs="Arial"/>
          <w:i/>
          <w:sz w:val="20"/>
          <w:szCs w:val="20"/>
          <w:lang w:val="es-MX"/>
        </w:rPr>
        <w:t xml:space="preserve">Antropología Cultural. </w:t>
      </w:r>
      <w:r w:rsidR="00325392" w:rsidRPr="00BF47EE">
        <w:rPr>
          <w:rFonts w:ascii="Verdana" w:eastAsia="Verdana" w:hAnsi="Verdana" w:cs="Arial"/>
          <w:sz w:val="20"/>
          <w:szCs w:val="20"/>
          <w:lang w:val="es-MX"/>
        </w:rPr>
        <w:t xml:space="preserve">Buenos Aires, Ediciones del Aula taller. </w:t>
      </w:r>
    </w:p>
    <w:p w:rsidR="00BF47EE" w:rsidRPr="00BF47EE" w:rsidRDefault="00BF47EE" w:rsidP="00BF47EE">
      <w:pPr>
        <w:pStyle w:val="Header"/>
        <w:tabs>
          <w:tab w:val="left" w:pos="486"/>
          <w:tab w:val="right" w:pos="9637"/>
        </w:tabs>
        <w:spacing w:line="276" w:lineRule="auto"/>
        <w:jc w:val="both"/>
        <w:rPr>
          <w:rFonts w:ascii="Verdana" w:eastAsia="Verdana" w:hAnsi="Verdana" w:cs="Arial"/>
          <w:sz w:val="20"/>
          <w:szCs w:val="20"/>
          <w:lang w:val="es-MX"/>
        </w:rPr>
      </w:pPr>
      <w:r w:rsidRPr="00BF47EE">
        <w:rPr>
          <w:rFonts w:ascii="Verdana" w:eastAsia="Verdana" w:hAnsi="Verdana" w:cs="Arial"/>
          <w:sz w:val="20"/>
          <w:szCs w:val="20"/>
          <w:lang w:val="es-MX"/>
        </w:rPr>
        <w:t xml:space="preserve">Apuntes de la Cátedra </w:t>
      </w:r>
      <w:proofErr w:type="spellStart"/>
      <w:r w:rsidRPr="00BF47EE">
        <w:rPr>
          <w:rFonts w:ascii="Verdana" w:eastAsia="Verdana" w:hAnsi="Verdana" w:cs="Arial"/>
          <w:sz w:val="20"/>
          <w:szCs w:val="20"/>
          <w:lang w:val="es-MX"/>
        </w:rPr>
        <w:t>Gravano</w:t>
      </w:r>
      <w:proofErr w:type="spellEnd"/>
      <w:r w:rsidRPr="00BF47EE">
        <w:rPr>
          <w:rFonts w:ascii="Verdana" w:eastAsia="Verdana" w:hAnsi="Verdana" w:cs="Arial"/>
          <w:sz w:val="20"/>
          <w:szCs w:val="20"/>
          <w:lang w:val="es-MX"/>
        </w:rPr>
        <w:t xml:space="preserve"> de Antropología (CBC – UBA)</w:t>
      </w:r>
    </w:p>
    <w:p w:rsidR="00BF47EE" w:rsidRPr="00BF47EE" w:rsidRDefault="00BF47EE" w:rsidP="00BF47EE">
      <w:pPr>
        <w:pStyle w:val="Header"/>
        <w:tabs>
          <w:tab w:val="left" w:pos="486"/>
          <w:tab w:val="right" w:pos="9637"/>
        </w:tabs>
        <w:spacing w:line="276" w:lineRule="auto"/>
        <w:jc w:val="both"/>
        <w:rPr>
          <w:rFonts w:ascii="Verdana" w:eastAsia="Verdana" w:hAnsi="Verdana" w:cs="Arial"/>
          <w:sz w:val="20"/>
          <w:szCs w:val="20"/>
          <w:lang w:val="es-MX"/>
        </w:rPr>
      </w:pPr>
      <w:r>
        <w:rPr>
          <w:rFonts w:ascii="Verdana" w:eastAsia="Verdana" w:hAnsi="Verdana" w:cs="Arial"/>
          <w:sz w:val="20"/>
          <w:szCs w:val="20"/>
          <w:lang w:val="es-MX"/>
        </w:rPr>
        <w:t xml:space="preserve">Marks, J. (1997). </w:t>
      </w:r>
      <w:r w:rsidRPr="00BF47EE">
        <w:rPr>
          <w:rFonts w:ascii="Verdana" w:eastAsia="Verdana" w:hAnsi="Verdana" w:cs="Arial"/>
          <w:i/>
          <w:sz w:val="20"/>
          <w:szCs w:val="20"/>
          <w:lang w:val="es-MX"/>
        </w:rPr>
        <w:t>La raza, teoría popular de la herencia</w:t>
      </w:r>
      <w:r>
        <w:rPr>
          <w:rFonts w:ascii="Verdana" w:eastAsia="Verdana" w:hAnsi="Verdana" w:cs="Arial"/>
          <w:sz w:val="20"/>
          <w:szCs w:val="20"/>
          <w:lang w:val="es-MX"/>
        </w:rPr>
        <w:t>. Selección.</w:t>
      </w:r>
    </w:p>
    <w:p w:rsidR="00FE386C" w:rsidRPr="00BF47EE" w:rsidRDefault="00FE386C" w:rsidP="00FE386C">
      <w:pPr>
        <w:widowControl w:val="0"/>
        <w:pBdr>
          <w:top w:val="nil"/>
          <w:left w:val="nil"/>
          <w:bottom w:val="nil"/>
          <w:right w:val="nil"/>
          <w:between w:val="nil"/>
        </w:pBdr>
        <w:ind w:right="2569"/>
        <w:rPr>
          <w:rFonts w:ascii="Verdana" w:eastAsia="Verdana" w:hAnsi="Verdana" w:cs="Verdana"/>
          <w:sz w:val="20"/>
          <w:szCs w:val="20"/>
          <w:lang w:val="es-MX"/>
        </w:rPr>
      </w:pPr>
      <w:r w:rsidRPr="00BF47EE">
        <w:rPr>
          <w:rFonts w:ascii="Verdana" w:eastAsia="Verdana" w:hAnsi="Verdana" w:cs="Verdana"/>
          <w:color w:val="000000"/>
          <w:sz w:val="20"/>
          <w:szCs w:val="20"/>
          <w:lang w:val="es-MX"/>
        </w:rPr>
        <w:t>Apunte teórico sobre antropología simbólica, identidad y nación. Selección de la docente.</w:t>
      </w:r>
    </w:p>
    <w:p w:rsidR="00DC145F" w:rsidRPr="00BF47EE" w:rsidRDefault="00DC145F" w:rsidP="00DC145F">
      <w:pPr>
        <w:spacing w:after="0"/>
        <w:rPr>
          <w:rFonts w:ascii="Verdana" w:hAnsi="Verdana"/>
          <w:sz w:val="20"/>
          <w:szCs w:val="20"/>
          <w:lang w:val="es-MX"/>
        </w:rPr>
      </w:pPr>
    </w:p>
    <w:sectPr w:rsidR="00DC145F" w:rsidRPr="00BF4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GothicITCbyBT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E4A"/>
    <w:multiLevelType w:val="hybridMultilevel"/>
    <w:tmpl w:val="3426ED58"/>
    <w:lvl w:ilvl="0" w:tplc="8A485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E4E"/>
    <w:multiLevelType w:val="hybridMultilevel"/>
    <w:tmpl w:val="13A048F0"/>
    <w:lvl w:ilvl="0" w:tplc="73BC53EC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094E3574"/>
    <w:multiLevelType w:val="multilevel"/>
    <w:tmpl w:val="AD82E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DC4CED"/>
    <w:multiLevelType w:val="hybridMultilevel"/>
    <w:tmpl w:val="E3F8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1371"/>
    <w:multiLevelType w:val="hybridMultilevel"/>
    <w:tmpl w:val="8DF8F5B8"/>
    <w:lvl w:ilvl="0" w:tplc="2F4CFA5E">
      <w:start w:val="1"/>
      <w:numFmt w:val="upperLetter"/>
      <w:lvlText w:val="%1."/>
      <w:lvlJc w:val="left"/>
      <w:pPr>
        <w:ind w:left="1217" w:hanging="360"/>
      </w:pPr>
      <w:rPr>
        <w:rFonts w:eastAsia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5" w15:restartNumberingAfterBreak="0">
    <w:nsid w:val="1B8B5C6F"/>
    <w:multiLevelType w:val="multilevel"/>
    <w:tmpl w:val="CEBC9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075F33"/>
    <w:multiLevelType w:val="hybridMultilevel"/>
    <w:tmpl w:val="BAC0E9C6"/>
    <w:lvl w:ilvl="0" w:tplc="3FAC1D4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2EAC39BC"/>
    <w:multiLevelType w:val="hybridMultilevel"/>
    <w:tmpl w:val="1366A716"/>
    <w:lvl w:ilvl="0" w:tplc="8A485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51D35"/>
    <w:multiLevelType w:val="hybridMultilevel"/>
    <w:tmpl w:val="0562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B4025"/>
    <w:multiLevelType w:val="hybridMultilevel"/>
    <w:tmpl w:val="68225CC2"/>
    <w:lvl w:ilvl="0" w:tplc="5FB292FC">
      <w:start w:val="1"/>
      <w:numFmt w:val="upperLetter"/>
      <w:lvlText w:val="%1.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7F6C2E3F"/>
    <w:multiLevelType w:val="hybridMultilevel"/>
    <w:tmpl w:val="4044C1CE"/>
    <w:lvl w:ilvl="0" w:tplc="2FD67C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F"/>
    <w:rsid w:val="00285D7D"/>
    <w:rsid w:val="00325392"/>
    <w:rsid w:val="0034345E"/>
    <w:rsid w:val="00521598"/>
    <w:rsid w:val="0067388C"/>
    <w:rsid w:val="006839D4"/>
    <w:rsid w:val="00880E0E"/>
    <w:rsid w:val="009D6451"/>
    <w:rsid w:val="00B67633"/>
    <w:rsid w:val="00BF47EE"/>
    <w:rsid w:val="00D53A41"/>
    <w:rsid w:val="00D85DB2"/>
    <w:rsid w:val="00DC145F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9D20"/>
  <w15:chartTrackingRefBased/>
  <w15:docId w15:val="{AABD9333-53F9-4768-9D3C-42FB3263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4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HeaderChar">
    <w:name w:val="Header Char"/>
    <w:basedOn w:val="DefaultParagraphFont"/>
    <w:link w:val="Header"/>
    <w:rsid w:val="00DC145F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ListParagraph">
    <w:name w:val="List Paragraph"/>
    <w:basedOn w:val="Normal"/>
    <w:uiPriority w:val="34"/>
    <w:qFormat/>
    <w:rsid w:val="00DC145F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character" w:styleId="Hyperlink">
    <w:name w:val="Hyperlink"/>
    <w:rsid w:val="00DC145F"/>
    <w:rPr>
      <w:color w:val="0000FF"/>
      <w:u w:val="single"/>
    </w:rPr>
  </w:style>
  <w:style w:type="table" w:styleId="TableGrid">
    <w:name w:val="Table Grid"/>
    <w:basedOn w:val="TableNormal"/>
    <w:rsid w:val="00DC1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325392"/>
    <w:pPr>
      <w:suppressAutoHyphens/>
      <w:spacing w:after="0" w:line="276" w:lineRule="auto"/>
    </w:pPr>
    <w:rPr>
      <w:rFonts w:ascii="Arial" w:eastAsia="Arial" w:hAnsi="Arial" w:cs="Arial"/>
      <w:lang w:val="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uario/Desktop/LANGE%20LEY/FEC/profnes_feyc_-_diversidad_e_interculturalidad_-_docentes_-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a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mesmollison.com/pla%20ygroun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Kennison, Robert</cp:lastModifiedBy>
  <cp:revision>5</cp:revision>
  <dcterms:created xsi:type="dcterms:W3CDTF">2024-02-19T21:05:00Z</dcterms:created>
  <dcterms:modified xsi:type="dcterms:W3CDTF">2024-02-21T19:52:00Z</dcterms:modified>
</cp:coreProperties>
</file>