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36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INSTITUTO SUPERIOR PORTEÑO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0</wp:posOffset>
            </wp:positionV>
            <wp:extent cx="1136015" cy="12420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242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20" w:line="36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de Formación Ética y Ciudadana</w:t>
      </w:r>
    </w:p>
    <w:p w:rsidR="00000000" w:rsidDel="00000000" w:rsidP="00000000" w:rsidRDefault="00000000" w:rsidRPr="00000000" w14:paraId="00000003">
      <w:pPr>
        <w:spacing w:after="120" w:line="36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2º año – 2024</w:t>
      </w:r>
    </w:p>
    <w:p w:rsidR="00000000" w:rsidDel="00000000" w:rsidP="00000000" w:rsidRDefault="00000000" w:rsidRPr="00000000" w14:paraId="00000004">
      <w:pPr>
        <w:spacing w:after="120" w:line="36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 Paula Balbi</w:t>
      </w:r>
    </w:p>
    <w:p w:rsidR="00000000" w:rsidDel="00000000" w:rsidP="00000000" w:rsidRDefault="00000000" w:rsidRPr="00000000" w14:paraId="00000005">
      <w:pPr>
        <w:spacing w:after="120" w:line="360" w:lineRule="auto"/>
        <w:ind w:left="28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Fundamentación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ejercicio del rol del ciudadano en la sociedad actual plantea desafíos complejos para la toma de decisiones en el ámbito de lo público. La complejidad de las cuestiones atinentes a lo público requiere considerar una cantidad cada vez mayor de variables y seleccionar y procesar información diversa, utilizar herramientas para interpretar el escenario y participar de manera creativa, responsable y efectiva en la creación de vínculos sociales y políticos y de una sociedad democrática progresivamente más justa. El campo de conocimientos reunidos bajo el nombre de Formación Ética y  Ciudadana se constituye como el ámbito académico y el espacio curricular en el que estas cuestiones son tematizadas, problematizadas y debatidas.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Propósitos y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los propósitos planteados podemos destacar: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Promover la comprensión de la complejidad de las prácticas sociales y políticas y de la historicidad de las ideas acerca de la ciudadanía y los Derechos Humanos.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Presentar modos de ejercicio de la ciudadanía en los que se evidencie el respeto a la diversidad, la convivencia pacífica y democrática, la igualdad, la cooperación, la solidaridad y la justicia.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Favorecer el reconocimiento de los Derechos Humanos como núcleo de valores comunes de una sociedad plural, que proporcionan criterios y principios para apreciar las conductas, las realidades sociales y fundar la convivencia pacífica.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Fomentar la adquisición de habilidades necesarias para las buenas prácticas de ciudadanía, fundadas en valores de igualdad, solidaridad, cooperación, convivencia y justicia.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Promover la construcción de criterios éticos y la adopción de actitudes de respeto y valoración de las diferencias en situaciones de conflicto entre normas y valores, en el marco de los Derechos Humanos.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Favorecer la valoración de la participación ciudadana como forma de intervenir sobre la realidad.</w:t>
      </w:r>
    </w:p>
    <w:p w:rsidR="00000000" w:rsidDel="00000000" w:rsidP="00000000" w:rsidRDefault="00000000" w:rsidRPr="00000000" w14:paraId="00000011">
      <w:pPr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Contenidos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Eje: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Estado, gobierno y participación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I: La convivencia y el diálogo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Características propias del ser humano: pensamiento racional y lenguaje articulado que posibilitan el diálogo.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Unidad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El poder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Definición de poder. Relaciones de poder. El conflicto en las relaciones de poder. Los regímenes políticos: democracias y autoritarismos.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Unidad III: El Estado y el poder político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Estado: definición. Legalidad del poder político: el Estado de Derecho. El Estado y la Nación. Distintas modalidades del Estado (liberal, constitucional, social)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Unidad 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: La organización constitucional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Constitución Nacional. Constitución y constitucionalismo. Antecedentes. Reformas constitucionales. Autoridades de la Nación.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V: El federalismo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Federalismo y autonomías provinciales. El Estado federal. El Estado unitario. El derecho federal en la Constitución. 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iudad Autónoma de Buenos Aires. Los recursos fiscales.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VI: Participación política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Ciudadanía y participación. La ciudadanía en la historia. El voto: participación y representación. Los partidos políticos. Nuevas formas de participación.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Eje: Derechos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VII: Los Derechos Humanos (DDHH)</w:t>
      </w:r>
    </w:p>
    <w:p w:rsidR="00000000" w:rsidDel="00000000" w:rsidP="00000000" w:rsidRDefault="00000000" w:rsidRPr="00000000" w14:paraId="00000026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DDHH: una construcción histórica. La Declaración Universal de los Derechos Humanos. Categorías de los DDHH. DDHH y obligaciones del Estado. El Estado frente a los organismos internacionales.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Eje: Igualdad y Diferencias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VIII: Igualdad y diversidad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discriminación. La discriminación en la historia argentina. Modalidades.  Legislación y políticas contra la discriminación.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after="24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 XIX: Igualdad de género</w:t>
      </w:r>
    </w:p>
    <w:p w:rsidR="00000000" w:rsidDel="00000000" w:rsidP="00000000" w:rsidRDefault="00000000" w:rsidRPr="00000000" w14:paraId="0000002C">
      <w:pPr>
        <w:tabs>
          <w:tab w:val="center" w:leader="none" w:pos="4419"/>
          <w:tab w:val="right" w:leader="none" w:pos="8838"/>
          <w:tab w:val="left" w:leader="none" w:pos="486"/>
          <w:tab w:val="right" w:leader="none" w:pos="9637"/>
        </w:tabs>
        <w:spacing w:after="240" w:before="24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Perspectiva de género. Las mujeres en la Historia. Las mujeres y la progresiva igualdad ante la ley. La brecha de género. Las mujeres y la ciencia. La violencia contra las mujeres.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Estrategias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Aprendizaje Basado en Problemas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Situaciones problemáticas tomadas de la realidad y relacionadas con los contenidos del curso que se espera sean abordadas por el/la alumno/a de manera grupal. Lo fundamental en la forma de trabajo que se genera está en que los/las alumnos/as puedan identificar lo que requieren para enfrentar la situación problemática y las habilidades que se desarrollan para llegar a resolverla.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Método de Proyectos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Actividades que enfrentan al alumno/a a situaciones problemáticas reales y concretas que requieren soluciones prácticas y en las que se pone de manifiesto una determinada teoría.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Debate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Trabajo grupal organizado y estructurado con fines de aprendizaje en el que los/las alumnos/as expresan puntos de vista distintos acerca del asunto en cuestión.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Exposición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Presentación de un tema lógicamente estructurado, en donde el recurso principal es el lenguaje oral, aunque también puede ser el texto escrito. Provee de estructura y organización a material desordenado y además se pueden extraer los puntos importantes de una amplia gama de información.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Técnica de panel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Discusión a modo de conversación entre un grupo seleccionado de personas (alumnos/as o invitados/as externos/as) que abordan un tema específico. La discusión es regulada por un líder (puede ser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profesor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bien algún alumno/a).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Técnica de la pregunta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Diálogo entre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profesora y los/las alumnos/as a partir de cuestionamientos que facilitan la interacción para: revisar, repasar, discutir, reflexionar ideas claves sobre un tópico o tema.</w:t>
      </w:r>
    </w:p>
    <w:p w:rsidR="00000000" w:rsidDel="00000000" w:rsidP="00000000" w:rsidRDefault="00000000" w:rsidRPr="00000000" w14:paraId="00000035">
      <w:pPr>
        <w:spacing w:after="24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Evaluación y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Recursos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Textos bibliográficos y periodísticos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Imágenes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Facilitan la codificación visual de la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de texto específico del espacio curricular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Evaluación oral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Evaluación escrita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Redacción de informes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Revisión de carpetas y tareas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Resolución de cuestionarios a libro abierto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Exposiciones grupales orales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Ejercicios de búsqueda bibliográfica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Participación en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Bibliografía del alumno: 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Educación Ciudadana 2: De la confrontación al diálogo. SERIE LLAVES – 2da Edición. Schujman, G. et al. Ciudad Autónoma de Buenos Aires: Estación Mandioca,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– Constitución comentada por Claudio Ríos. Ediciones del ISP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Selección de textos elaborada por la profesora. 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Bibliografía del docente: </w:t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Filosofía y Formación Ética y Ciudadana: la democracia. Libro 2. Polimodal. Del Carmen Correale, M. y Damiani, A. Ed. Longseller, 2002.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06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06F0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740C4D"/>
    <w:pPr>
      <w:spacing w:after="0" w:line="240" w:lineRule="auto"/>
    </w:pPr>
    <w:rPr>
      <w:lang w:val="es-A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40C4D"/>
    <w:pPr>
      <w:ind w:left="720"/>
      <w:contextualSpacing w:val="1"/>
    </w:pPr>
    <w:rPr>
      <w:lang w:val="es-AR"/>
    </w:rPr>
  </w:style>
  <w:style w:type="paragraph" w:styleId="NormalWeb">
    <w:name w:val="Normal (Web)"/>
    <w:basedOn w:val="Normal"/>
    <w:semiHidden w:val="1"/>
    <w:unhideWhenUsed w:val="1"/>
    <w:rsid w:val="00740C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P+jON7VNOnHkOgMUPY8UEp+wA==">CgMxLjA4AHIhMWFweWI4S0xkVVBBa0FyQ0ZHWVRiZHlwNk5MTzBsWGtT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2023-03-30T09:35:00Z</dcterms:created>
  <dc:creator>Claudio Javier Rios</dc:creator>
</cp:coreProperties>
</file>