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637" w:rsidRPr="004A2096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 w:rsidRPr="004A2096"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 w:rsidRPr="004A2096">
        <w:rPr>
          <w:rFonts w:ascii="Arial" w:hAnsi="Arial" w:cs="Arial"/>
          <w:noProof/>
          <w:lang w:val="es-AR" w:eastAsia="es-A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6637" w:rsidRPr="004A2096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796637" w:rsidRPr="004A2096" w:rsidRDefault="00CA23C2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 w:rsidRPr="004A2096">
        <w:rPr>
          <w:rFonts w:ascii="Arial" w:eastAsia="Arial" w:hAnsi="Arial" w:cs="Arial"/>
          <w:b/>
          <w:sz w:val="20"/>
          <w:szCs w:val="20"/>
        </w:rPr>
        <w:t xml:space="preserve">Programa de </w:t>
      </w:r>
      <w:r w:rsidR="008D1A62" w:rsidRPr="004A2096">
        <w:rPr>
          <w:rFonts w:ascii="Arial" w:eastAsia="Arial" w:hAnsi="Arial" w:cs="Arial"/>
          <w:b/>
          <w:sz w:val="20"/>
          <w:szCs w:val="20"/>
        </w:rPr>
        <w:t>Psicología</w:t>
      </w:r>
    </w:p>
    <w:p w:rsidR="00796637" w:rsidRPr="004A2096" w:rsidRDefault="008D1A62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 w:rsidRPr="004A2096">
        <w:rPr>
          <w:rFonts w:ascii="Arial" w:eastAsia="Arial" w:hAnsi="Arial" w:cs="Arial"/>
          <w:b/>
          <w:sz w:val="20"/>
          <w:szCs w:val="20"/>
        </w:rPr>
        <w:t>4</w:t>
      </w:r>
      <w:r w:rsidR="000A62A5" w:rsidRPr="004A2096">
        <w:rPr>
          <w:rFonts w:ascii="Arial" w:eastAsia="Arial" w:hAnsi="Arial" w:cs="Arial"/>
          <w:b/>
          <w:sz w:val="20"/>
          <w:szCs w:val="20"/>
        </w:rPr>
        <w:t>º año – 202</w:t>
      </w:r>
      <w:bookmarkStart w:id="1" w:name="_GoBack"/>
      <w:bookmarkEnd w:id="1"/>
      <w:r w:rsidRPr="004A2096">
        <w:rPr>
          <w:rFonts w:ascii="Arial" w:eastAsia="Arial" w:hAnsi="Arial" w:cs="Arial"/>
          <w:b/>
          <w:sz w:val="20"/>
          <w:szCs w:val="20"/>
        </w:rPr>
        <w:t>4</w:t>
      </w:r>
    </w:p>
    <w:p w:rsidR="00796637" w:rsidRPr="004A2096" w:rsidRDefault="008D1A6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 w:rsidRPr="004A2096">
        <w:rPr>
          <w:rFonts w:ascii="Arial" w:eastAsia="Arial" w:hAnsi="Arial" w:cs="Arial"/>
          <w:sz w:val="20"/>
          <w:szCs w:val="20"/>
        </w:rPr>
        <w:t xml:space="preserve">Profesor Fabián </w:t>
      </w:r>
      <w:proofErr w:type="spellStart"/>
      <w:r w:rsidRPr="004A2096">
        <w:rPr>
          <w:rFonts w:ascii="Arial" w:eastAsia="Arial" w:hAnsi="Arial" w:cs="Arial"/>
          <w:sz w:val="20"/>
          <w:szCs w:val="20"/>
        </w:rPr>
        <w:t>Ferulano</w:t>
      </w:r>
      <w:proofErr w:type="spellEnd"/>
    </w:p>
    <w:p w:rsidR="00796637" w:rsidRPr="004A2096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796637" w:rsidRPr="004A2096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796637" w:rsidRPr="004A2096" w:rsidRDefault="00571402" w:rsidP="00042C0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A2096">
        <w:rPr>
          <w:rFonts w:ascii="Arial" w:eastAsia="Arial" w:hAnsi="Arial" w:cs="Arial"/>
          <w:b/>
          <w:sz w:val="20"/>
          <w:szCs w:val="20"/>
        </w:rPr>
        <w:t xml:space="preserve">Unidad I: </w:t>
      </w:r>
      <w:r w:rsidR="00042C05" w:rsidRPr="004A2096">
        <w:rPr>
          <w:rFonts w:ascii="Arial" w:eastAsia="Arial" w:hAnsi="Arial" w:cs="Arial"/>
          <w:b/>
          <w:sz w:val="20"/>
          <w:szCs w:val="20"/>
        </w:rPr>
        <w:t xml:space="preserve">La </w:t>
      </w:r>
      <w:r w:rsidR="008D1A62" w:rsidRPr="004A2096">
        <w:rPr>
          <w:rFonts w:ascii="Arial" w:eastAsia="Arial" w:hAnsi="Arial" w:cs="Arial"/>
          <w:b/>
          <w:sz w:val="20"/>
          <w:szCs w:val="20"/>
        </w:rPr>
        <w:t>psicología como ciencia</w:t>
      </w:r>
    </w:p>
    <w:p w:rsidR="00FE3151" w:rsidRPr="004A2096" w:rsidRDefault="008D1A62" w:rsidP="00042C05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4A2096">
        <w:rPr>
          <w:rFonts w:ascii="Arial" w:hAnsi="Arial" w:cs="Arial"/>
          <w:sz w:val="20"/>
          <w:szCs w:val="20"/>
        </w:rPr>
        <w:t xml:space="preserve">La psicología como ciencia. Definición del concepto de psicología, su objeto y sus métodos. Breve reseña histórica de la psicología: desde la psicología pre-científica o filosófica a la psicología científica o fundacional. La psicología como ciencia autónoma y sus vinculaciones con otras disciplinas. La teoría de la conciencia de </w:t>
      </w:r>
      <w:proofErr w:type="spellStart"/>
      <w:r w:rsidRPr="004A2096">
        <w:rPr>
          <w:rFonts w:ascii="Arial" w:hAnsi="Arial" w:cs="Arial"/>
          <w:sz w:val="20"/>
          <w:szCs w:val="20"/>
        </w:rPr>
        <w:t>Wundt</w:t>
      </w:r>
      <w:proofErr w:type="spellEnd"/>
      <w:r w:rsidRPr="004A2096">
        <w:rPr>
          <w:rFonts w:ascii="Arial" w:hAnsi="Arial" w:cs="Arial"/>
          <w:sz w:val="20"/>
          <w:szCs w:val="20"/>
        </w:rPr>
        <w:t>: elementos básicos y asociación. Los aportes de la epistemología: nuevos conceptos teóricos y metodológicos. Los sistemas psicológicos contemporáneos</w:t>
      </w:r>
    </w:p>
    <w:p w:rsidR="00FE3151" w:rsidRPr="004A2096" w:rsidRDefault="00FE3151" w:rsidP="00042C05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:rsidR="00796637" w:rsidRPr="004A2096" w:rsidRDefault="00571402" w:rsidP="00042C0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A2096">
        <w:rPr>
          <w:rFonts w:ascii="Arial" w:eastAsia="Arial" w:hAnsi="Arial" w:cs="Arial"/>
          <w:b/>
          <w:sz w:val="20"/>
          <w:szCs w:val="20"/>
        </w:rPr>
        <w:t xml:space="preserve">Unidad II: </w:t>
      </w:r>
      <w:r w:rsidR="006A513B" w:rsidRPr="004A2096">
        <w:rPr>
          <w:rFonts w:ascii="Arial" w:hAnsi="Arial" w:cs="Arial"/>
          <w:b/>
          <w:sz w:val="20"/>
          <w:szCs w:val="20"/>
        </w:rPr>
        <w:t>La conducta como unidad de análisis y el método objetivo</w:t>
      </w:r>
    </w:p>
    <w:p w:rsidR="00FE3151" w:rsidRPr="004A2096" w:rsidRDefault="006A513B">
      <w:pPr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</w:rPr>
        <w:t xml:space="preserve">Los orígenes del conductismo: sus antecedentes en el desarrollo de la biología y la psicología animal. Las formulaciones de la escuela conductista: el conductismo molecular de Watson y el conductismo molar o intencional de </w:t>
      </w:r>
      <w:proofErr w:type="spellStart"/>
      <w:r w:rsidRPr="004A2096">
        <w:rPr>
          <w:rFonts w:ascii="Arial" w:hAnsi="Arial" w:cs="Arial"/>
          <w:sz w:val="20"/>
          <w:szCs w:val="20"/>
        </w:rPr>
        <w:t>Tolman</w:t>
      </w:r>
      <w:proofErr w:type="spellEnd"/>
      <w:r w:rsidRPr="004A2096">
        <w:rPr>
          <w:rFonts w:ascii="Arial" w:hAnsi="Arial" w:cs="Arial"/>
          <w:sz w:val="20"/>
          <w:szCs w:val="20"/>
        </w:rPr>
        <w:t>. Alcances y límites. Las áreas de la conducta. La conducta en situación y el campo psicológico. Las motivaciones y los conflictos. La personalidad</w:t>
      </w:r>
      <w:r w:rsidR="004A2096">
        <w:rPr>
          <w:rFonts w:ascii="Arial" w:hAnsi="Arial" w:cs="Arial"/>
          <w:sz w:val="20"/>
          <w:szCs w:val="20"/>
        </w:rPr>
        <w:t>.</w:t>
      </w:r>
    </w:p>
    <w:p w:rsidR="00796637" w:rsidRPr="004A2096" w:rsidRDefault="0057140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A2096">
        <w:rPr>
          <w:rFonts w:ascii="Arial" w:eastAsia="Arial" w:hAnsi="Arial" w:cs="Arial"/>
          <w:b/>
          <w:sz w:val="20"/>
          <w:szCs w:val="20"/>
        </w:rPr>
        <w:t xml:space="preserve">Unidad III: </w:t>
      </w:r>
      <w:r w:rsidR="006A513B" w:rsidRPr="004A2096">
        <w:rPr>
          <w:rFonts w:ascii="Arial" w:hAnsi="Arial" w:cs="Arial"/>
          <w:b/>
          <w:sz w:val="20"/>
          <w:szCs w:val="20"/>
        </w:rPr>
        <w:t>La psicología cognitiva</w:t>
      </w:r>
    </w:p>
    <w:p w:rsidR="006A513B" w:rsidRPr="004A2096" w:rsidRDefault="006A513B" w:rsidP="006A513B">
      <w:pPr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</w:rPr>
        <w:t>La mente y su funcionamiento. La metáfora computacional. La memoria y el procesamiento de la información.</w:t>
      </w:r>
    </w:p>
    <w:p w:rsidR="00796637" w:rsidRPr="004A2096" w:rsidRDefault="006A513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A2096">
        <w:rPr>
          <w:rFonts w:ascii="Arial" w:eastAsia="Arial" w:hAnsi="Arial" w:cs="Arial"/>
          <w:b/>
          <w:sz w:val="20"/>
          <w:szCs w:val="20"/>
        </w:rPr>
        <w:t>Unidad IV</w:t>
      </w:r>
      <w:r w:rsidR="004A2096" w:rsidRPr="004A2096">
        <w:rPr>
          <w:rFonts w:ascii="Arial" w:eastAsia="Arial" w:hAnsi="Arial" w:cs="Arial"/>
          <w:b/>
          <w:sz w:val="20"/>
          <w:szCs w:val="20"/>
        </w:rPr>
        <w:t>: La percepción</w:t>
      </w:r>
    </w:p>
    <w:p w:rsidR="004A2096" w:rsidRPr="004A2096" w:rsidRDefault="004A2096" w:rsidP="004A2096">
      <w:pPr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</w:rPr>
        <w:t xml:space="preserve">La teoría de la </w:t>
      </w:r>
      <w:proofErr w:type="spellStart"/>
      <w:r w:rsidRPr="004A2096">
        <w:rPr>
          <w:rFonts w:ascii="Arial" w:hAnsi="Arial" w:cs="Arial"/>
          <w:i/>
          <w:sz w:val="20"/>
          <w:szCs w:val="20"/>
        </w:rPr>
        <w:t>Gestalt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 o psicología de la forma: sus orígenes y principales ideas. La percepción: sus leyes y sus principios determinantes. El “New Look” o nueva visión. Los factores que personales que determinan la percepción.</w:t>
      </w:r>
    </w:p>
    <w:p w:rsidR="004A2096" w:rsidRPr="004A2096" w:rsidRDefault="004A2096" w:rsidP="004A209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2096">
        <w:rPr>
          <w:rFonts w:ascii="Arial" w:hAnsi="Arial" w:cs="Arial"/>
          <w:b/>
          <w:sz w:val="20"/>
          <w:szCs w:val="20"/>
        </w:rPr>
        <w:t>Unidad IV: La inteligencia</w:t>
      </w:r>
    </w:p>
    <w:p w:rsidR="004A2096" w:rsidRDefault="004A2096" w:rsidP="004A20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</w:rPr>
        <w:t xml:space="preserve">La psicología genética de Jean </w:t>
      </w:r>
      <w:proofErr w:type="spellStart"/>
      <w:r w:rsidRPr="004A2096">
        <w:rPr>
          <w:rFonts w:ascii="Arial" w:hAnsi="Arial" w:cs="Arial"/>
          <w:sz w:val="20"/>
          <w:szCs w:val="20"/>
        </w:rPr>
        <w:t>Piaget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. El sujeto epistémico y el problema del conocimiento como núcleo central de la epistemología genética. La inteligencia. Los estadios de la inteligencia. Los factores del desarrollo. La acción como proceso </w:t>
      </w:r>
      <w:proofErr w:type="spellStart"/>
      <w:r w:rsidRPr="004A2096">
        <w:rPr>
          <w:rFonts w:ascii="Arial" w:hAnsi="Arial" w:cs="Arial"/>
          <w:sz w:val="20"/>
          <w:szCs w:val="20"/>
        </w:rPr>
        <w:t>estructurante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 del desarrollo cognitivo. El aprendizaje. Teorías del aprendizaje.</w:t>
      </w:r>
    </w:p>
    <w:p w:rsidR="004A2096" w:rsidRPr="004A2096" w:rsidRDefault="004A2096" w:rsidP="004A20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2096" w:rsidRPr="004A2096" w:rsidRDefault="004A2096" w:rsidP="004A209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2096">
        <w:rPr>
          <w:rFonts w:ascii="Arial" w:hAnsi="Arial" w:cs="Arial"/>
          <w:b/>
          <w:sz w:val="20"/>
          <w:szCs w:val="20"/>
        </w:rPr>
        <w:t>Unidad V: Psicoanálisis</w:t>
      </w:r>
    </w:p>
    <w:p w:rsidR="004A2096" w:rsidRPr="004A2096" w:rsidRDefault="004A2096" w:rsidP="004A20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</w:rPr>
        <w:t>El descubrimiento del inconsciente. El aparato psíquico y su funcionamiento. Primera y segunda tópica. Desarrollo de la función sexual. La sexualidad humana y sus características: serie de la pulsión, del deseo y de la elección del objeto. El concepto de identificación. La interpretación de los sueños. Los principios del acaecer psíquico.</w:t>
      </w:r>
    </w:p>
    <w:p w:rsidR="004A2096" w:rsidRPr="004A2096" w:rsidRDefault="004A2096" w:rsidP="004A2096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71402" w:rsidRPr="004A2096" w:rsidRDefault="00571402" w:rsidP="004A2096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47644" w:rsidRPr="004A2096" w:rsidRDefault="00047644" w:rsidP="004A2096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A2096">
        <w:rPr>
          <w:rFonts w:ascii="Arial" w:eastAsia="Arial" w:hAnsi="Arial" w:cs="Arial"/>
          <w:b/>
          <w:sz w:val="20"/>
          <w:szCs w:val="20"/>
        </w:rPr>
        <w:t>Bibliografía del alumno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A2096">
        <w:rPr>
          <w:rFonts w:ascii="Arial" w:hAnsi="Arial" w:cs="Arial"/>
          <w:sz w:val="20"/>
          <w:szCs w:val="20"/>
          <w:lang w:val="es-MX"/>
        </w:rPr>
        <w:t>Bossellini</w:t>
      </w:r>
      <w:proofErr w:type="spellEnd"/>
      <w:r w:rsidRPr="004A2096">
        <w:rPr>
          <w:rFonts w:ascii="Arial" w:hAnsi="Arial" w:cs="Arial"/>
          <w:sz w:val="20"/>
          <w:szCs w:val="20"/>
          <w:lang w:val="es-MX"/>
        </w:rPr>
        <w:t xml:space="preserve">, Leticia y </w:t>
      </w:r>
      <w:proofErr w:type="spellStart"/>
      <w:r w:rsidRPr="004A2096">
        <w:rPr>
          <w:rFonts w:ascii="Arial" w:hAnsi="Arial" w:cs="Arial"/>
          <w:sz w:val="20"/>
          <w:szCs w:val="20"/>
          <w:lang w:val="es-MX"/>
        </w:rPr>
        <w:t>Orsini</w:t>
      </w:r>
      <w:proofErr w:type="spellEnd"/>
      <w:r w:rsidRPr="004A2096">
        <w:rPr>
          <w:rFonts w:ascii="Arial" w:hAnsi="Arial" w:cs="Arial"/>
          <w:sz w:val="20"/>
          <w:szCs w:val="20"/>
          <w:lang w:val="es-MX"/>
        </w:rPr>
        <w:t xml:space="preserve">, Alcira; </w:t>
      </w:r>
      <w:r w:rsidRPr="004A2096">
        <w:rPr>
          <w:rFonts w:ascii="Arial" w:hAnsi="Arial" w:cs="Arial"/>
          <w:i/>
          <w:sz w:val="20"/>
          <w:szCs w:val="20"/>
          <w:lang w:val="es-MX"/>
        </w:rPr>
        <w:t xml:space="preserve">Psicología. </w:t>
      </w:r>
      <w:r w:rsidRPr="004A2096">
        <w:rPr>
          <w:rFonts w:ascii="Arial" w:hAnsi="Arial" w:cs="Arial"/>
          <w:sz w:val="20"/>
          <w:szCs w:val="20"/>
          <w:lang w:val="es-MX"/>
        </w:rPr>
        <w:t>Buenos Aires, A-Z editora, 2007.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A2096">
        <w:rPr>
          <w:rFonts w:ascii="Arial" w:hAnsi="Arial" w:cs="Arial"/>
          <w:sz w:val="20"/>
          <w:szCs w:val="20"/>
          <w:lang w:val="es-MX"/>
        </w:rPr>
        <w:t>Scaglia</w:t>
      </w:r>
      <w:proofErr w:type="spellEnd"/>
      <w:r w:rsidRPr="004A2096">
        <w:rPr>
          <w:rFonts w:ascii="Arial" w:hAnsi="Arial" w:cs="Arial"/>
          <w:sz w:val="20"/>
          <w:szCs w:val="20"/>
          <w:lang w:val="es-MX"/>
        </w:rPr>
        <w:t xml:space="preserve">, Héctor; “Intento de constitución de una psicología independiente a partir del modelo de las ciencias físico-naturales del siglo XIX”, en </w:t>
      </w:r>
      <w:r w:rsidRPr="004A2096">
        <w:rPr>
          <w:rFonts w:ascii="Arial" w:hAnsi="Arial" w:cs="Arial"/>
          <w:i/>
          <w:sz w:val="20"/>
          <w:szCs w:val="20"/>
          <w:lang w:val="es-MX"/>
        </w:rPr>
        <w:t>Conceptos preliminares</w:t>
      </w:r>
      <w:r w:rsidRPr="004A2096">
        <w:rPr>
          <w:rFonts w:ascii="Arial" w:hAnsi="Arial" w:cs="Arial"/>
          <w:sz w:val="20"/>
          <w:szCs w:val="20"/>
          <w:lang w:val="es-MX"/>
        </w:rPr>
        <w:t xml:space="preserve">, Buenos Aires, </w:t>
      </w:r>
      <w:proofErr w:type="spellStart"/>
      <w:r w:rsidRPr="004A2096">
        <w:rPr>
          <w:rFonts w:ascii="Arial" w:hAnsi="Arial" w:cs="Arial"/>
          <w:sz w:val="20"/>
          <w:szCs w:val="20"/>
          <w:lang w:val="es-MX"/>
        </w:rPr>
        <w:t>Eudeba</w:t>
      </w:r>
      <w:proofErr w:type="spellEnd"/>
      <w:r w:rsidRPr="004A2096">
        <w:rPr>
          <w:rFonts w:ascii="Arial" w:hAnsi="Arial" w:cs="Arial"/>
          <w:sz w:val="20"/>
          <w:szCs w:val="20"/>
          <w:lang w:val="es-MX"/>
        </w:rPr>
        <w:t>, 2002.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A2096">
        <w:rPr>
          <w:rFonts w:ascii="Arial" w:hAnsi="Arial" w:cs="Arial"/>
          <w:sz w:val="20"/>
          <w:szCs w:val="20"/>
          <w:lang w:val="es-MX"/>
        </w:rPr>
        <w:t>Töpf</w:t>
      </w:r>
      <w:proofErr w:type="spellEnd"/>
      <w:r w:rsidRPr="004A2096">
        <w:rPr>
          <w:rFonts w:ascii="Arial" w:hAnsi="Arial" w:cs="Arial"/>
          <w:sz w:val="20"/>
          <w:szCs w:val="20"/>
          <w:lang w:val="es-MX"/>
        </w:rPr>
        <w:t xml:space="preserve">, José; El modelo E-R (estímulo-respuesta). El conexionismo” en </w:t>
      </w:r>
      <w:r w:rsidRPr="004A2096">
        <w:rPr>
          <w:rFonts w:ascii="Arial" w:hAnsi="Arial" w:cs="Arial"/>
          <w:i/>
          <w:sz w:val="20"/>
          <w:szCs w:val="20"/>
          <w:lang w:val="es-MX"/>
        </w:rPr>
        <w:t>La conducta humana</w:t>
      </w:r>
      <w:r w:rsidRPr="004A2096">
        <w:rPr>
          <w:rFonts w:ascii="Arial" w:hAnsi="Arial" w:cs="Arial"/>
          <w:sz w:val="20"/>
          <w:szCs w:val="20"/>
          <w:lang w:val="es-MX"/>
        </w:rPr>
        <w:t xml:space="preserve">, Buenos Aires, </w:t>
      </w:r>
      <w:proofErr w:type="spellStart"/>
      <w:r w:rsidRPr="004A2096">
        <w:rPr>
          <w:rFonts w:ascii="Arial" w:hAnsi="Arial" w:cs="Arial"/>
          <w:sz w:val="20"/>
          <w:szCs w:val="20"/>
          <w:lang w:val="es-MX"/>
        </w:rPr>
        <w:t>Eudeba</w:t>
      </w:r>
      <w:proofErr w:type="spellEnd"/>
      <w:r w:rsidRPr="004A2096">
        <w:rPr>
          <w:rFonts w:ascii="Arial" w:hAnsi="Arial" w:cs="Arial"/>
          <w:sz w:val="20"/>
          <w:szCs w:val="20"/>
          <w:lang w:val="es-MX"/>
        </w:rPr>
        <w:t>, 2005.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  <w:lang w:val="es-MX"/>
        </w:rPr>
        <w:t xml:space="preserve">Watson, John, B.; </w:t>
      </w:r>
      <w:r w:rsidRPr="004A2096">
        <w:rPr>
          <w:rFonts w:ascii="Arial" w:hAnsi="Arial" w:cs="Arial"/>
          <w:i/>
          <w:sz w:val="20"/>
          <w:szCs w:val="20"/>
          <w:lang w:val="es-MX"/>
        </w:rPr>
        <w:t>El conductismo</w:t>
      </w:r>
      <w:r w:rsidRPr="004A2096">
        <w:rPr>
          <w:rFonts w:ascii="Arial" w:hAnsi="Arial" w:cs="Arial"/>
          <w:sz w:val="20"/>
          <w:szCs w:val="20"/>
          <w:lang w:val="es-MX"/>
        </w:rPr>
        <w:t xml:space="preserve">, Capítulo I: ¿Qué es el conductismo?, Buenos Aires, </w:t>
      </w:r>
      <w:proofErr w:type="spellStart"/>
      <w:r w:rsidRPr="004A2096">
        <w:rPr>
          <w:rFonts w:ascii="Arial" w:hAnsi="Arial" w:cs="Arial"/>
          <w:sz w:val="20"/>
          <w:szCs w:val="20"/>
          <w:lang w:val="es-MX"/>
        </w:rPr>
        <w:t>Paidós</w:t>
      </w:r>
      <w:proofErr w:type="spellEnd"/>
      <w:r w:rsidRPr="004A2096">
        <w:rPr>
          <w:rFonts w:ascii="Arial" w:hAnsi="Arial" w:cs="Arial"/>
          <w:sz w:val="20"/>
          <w:szCs w:val="20"/>
          <w:lang w:val="es-MX"/>
        </w:rPr>
        <w:t>, 1955.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A2096">
        <w:rPr>
          <w:rFonts w:ascii="Arial" w:hAnsi="Arial" w:cs="Arial"/>
          <w:sz w:val="20"/>
          <w:szCs w:val="20"/>
        </w:rPr>
        <w:t>Piaget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, Jean; “La epistemología genética” (Selección), en </w:t>
      </w:r>
      <w:r w:rsidRPr="004A2096">
        <w:rPr>
          <w:rFonts w:ascii="Arial" w:hAnsi="Arial" w:cs="Arial"/>
          <w:i/>
          <w:iCs/>
          <w:sz w:val="20"/>
          <w:szCs w:val="20"/>
        </w:rPr>
        <w:t>Psicología y epistemología</w:t>
      </w:r>
      <w:r w:rsidRPr="004A2096">
        <w:rPr>
          <w:rFonts w:ascii="Arial" w:hAnsi="Arial" w:cs="Arial"/>
          <w:sz w:val="20"/>
          <w:szCs w:val="20"/>
        </w:rPr>
        <w:t>, Barcelona, Planeta-</w:t>
      </w:r>
      <w:proofErr w:type="spellStart"/>
      <w:r w:rsidRPr="004A2096">
        <w:rPr>
          <w:rFonts w:ascii="Arial" w:hAnsi="Arial" w:cs="Arial"/>
          <w:sz w:val="20"/>
          <w:szCs w:val="20"/>
        </w:rPr>
        <w:t>Agostini</w:t>
      </w:r>
      <w:proofErr w:type="spellEnd"/>
      <w:r w:rsidRPr="004A2096">
        <w:rPr>
          <w:rFonts w:ascii="Arial" w:hAnsi="Arial" w:cs="Arial"/>
          <w:sz w:val="20"/>
          <w:szCs w:val="20"/>
        </w:rPr>
        <w:t>, 1985.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A2096">
        <w:rPr>
          <w:rFonts w:ascii="Arial" w:hAnsi="Arial" w:cs="Arial"/>
          <w:sz w:val="20"/>
          <w:szCs w:val="20"/>
        </w:rPr>
        <w:t>Piaget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, Jean; “Los estadios del desarrollo intelectual del niño y del adolescente”, en </w:t>
      </w:r>
      <w:r w:rsidRPr="004A2096">
        <w:rPr>
          <w:rFonts w:ascii="Arial" w:hAnsi="Arial" w:cs="Arial"/>
          <w:i/>
          <w:iCs/>
          <w:sz w:val="20"/>
          <w:szCs w:val="20"/>
        </w:rPr>
        <w:t>Estudios de psicología genética</w:t>
      </w:r>
      <w:r w:rsidRPr="004A2096">
        <w:rPr>
          <w:rFonts w:ascii="Arial" w:hAnsi="Arial" w:cs="Arial"/>
          <w:sz w:val="20"/>
          <w:szCs w:val="20"/>
        </w:rPr>
        <w:t xml:space="preserve">, Buenos Aires, </w:t>
      </w:r>
      <w:proofErr w:type="spellStart"/>
      <w:r w:rsidRPr="004A2096">
        <w:rPr>
          <w:rFonts w:ascii="Arial" w:hAnsi="Arial" w:cs="Arial"/>
          <w:sz w:val="20"/>
          <w:szCs w:val="20"/>
        </w:rPr>
        <w:t>Emecé</w:t>
      </w:r>
      <w:proofErr w:type="spellEnd"/>
      <w:r w:rsidRPr="004A2096">
        <w:rPr>
          <w:rFonts w:ascii="Arial" w:hAnsi="Arial" w:cs="Arial"/>
          <w:sz w:val="20"/>
          <w:szCs w:val="20"/>
        </w:rPr>
        <w:t>.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</w:rPr>
        <w:t xml:space="preserve">Freud, </w:t>
      </w:r>
      <w:proofErr w:type="spellStart"/>
      <w:r w:rsidRPr="004A2096">
        <w:rPr>
          <w:rFonts w:ascii="Arial" w:hAnsi="Arial" w:cs="Arial"/>
          <w:sz w:val="20"/>
          <w:szCs w:val="20"/>
        </w:rPr>
        <w:t>Sigmund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; “Algunas observaciones sobre el concepto de lo inconsciente en el psicoanálisis”, en </w:t>
      </w:r>
      <w:r w:rsidRPr="004A2096">
        <w:rPr>
          <w:rFonts w:ascii="Arial" w:hAnsi="Arial" w:cs="Arial"/>
          <w:i/>
          <w:iCs/>
          <w:sz w:val="20"/>
          <w:szCs w:val="20"/>
        </w:rPr>
        <w:t>Los textos fundamentales</w:t>
      </w:r>
      <w:r w:rsidRPr="004A20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2096">
        <w:rPr>
          <w:rFonts w:ascii="Arial" w:hAnsi="Arial" w:cs="Arial"/>
          <w:sz w:val="20"/>
          <w:szCs w:val="20"/>
        </w:rPr>
        <w:t>Altaya</w:t>
      </w:r>
      <w:proofErr w:type="spellEnd"/>
      <w:r w:rsidRPr="004A2096">
        <w:rPr>
          <w:rFonts w:ascii="Arial" w:hAnsi="Arial" w:cs="Arial"/>
          <w:sz w:val="20"/>
          <w:szCs w:val="20"/>
        </w:rPr>
        <w:t>, 1993.</w:t>
      </w:r>
    </w:p>
    <w:p w:rsidR="004A2096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096">
        <w:rPr>
          <w:rFonts w:ascii="Arial" w:hAnsi="Arial" w:cs="Arial"/>
          <w:sz w:val="20"/>
          <w:szCs w:val="20"/>
        </w:rPr>
        <w:lastRenderedPageBreak/>
        <w:t xml:space="preserve">Freud, </w:t>
      </w:r>
      <w:proofErr w:type="spellStart"/>
      <w:r w:rsidRPr="004A2096">
        <w:rPr>
          <w:rFonts w:ascii="Arial" w:hAnsi="Arial" w:cs="Arial"/>
          <w:sz w:val="20"/>
          <w:szCs w:val="20"/>
        </w:rPr>
        <w:t>Sigmund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; “La disección de la personalidad psíquica”, en </w:t>
      </w:r>
      <w:proofErr w:type="spellStart"/>
      <w:r w:rsidRPr="004A2096">
        <w:rPr>
          <w:rFonts w:ascii="Arial" w:hAnsi="Arial" w:cs="Arial"/>
          <w:i/>
          <w:sz w:val="20"/>
          <w:szCs w:val="20"/>
        </w:rPr>
        <w:t>Op</w:t>
      </w:r>
      <w:proofErr w:type="spellEnd"/>
      <w:r w:rsidRPr="004A2096">
        <w:rPr>
          <w:rFonts w:ascii="Arial" w:hAnsi="Arial" w:cs="Arial"/>
          <w:i/>
          <w:sz w:val="20"/>
          <w:szCs w:val="20"/>
        </w:rPr>
        <w:t>. Cit</w:t>
      </w:r>
      <w:r w:rsidRPr="004A2096">
        <w:rPr>
          <w:rFonts w:ascii="Arial" w:hAnsi="Arial" w:cs="Arial"/>
          <w:sz w:val="20"/>
          <w:szCs w:val="20"/>
        </w:rPr>
        <w:t>.</w:t>
      </w:r>
    </w:p>
    <w:p w:rsidR="00047644" w:rsidRPr="004A2096" w:rsidRDefault="004A2096" w:rsidP="004A2096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A2096">
        <w:rPr>
          <w:rFonts w:ascii="Arial" w:hAnsi="Arial" w:cs="Arial"/>
          <w:sz w:val="20"/>
          <w:szCs w:val="20"/>
        </w:rPr>
        <w:t>Laplanche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, Jean y </w:t>
      </w:r>
      <w:proofErr w:type="spellStart"/>
      <w:r w:rsidRPr="004A2096">
        <w:rPr>
          <w:rFonts w:ascii="Arial" w:hAnsi="Arial" w:cs="Arial"/>
          <w:sz w:val="20"/>
          <w:szCs w:val="20"/>
        </w:rPr>
        <w:t>Pontalis</w:t>
      </w:r>
      <w:proofErr w:type="spellEnd"/>
      <w:r w:rsidRPr="004A2096">
        <w:rPr>
          <w:rFonts w:ascii="Arial" w:hAnsi="Arial" w:cs="Arial"/>
          <w:sz w:val="20"/>
          <w:szCs w:val="20"/>
        </w:rPr>
        <w:t xml:space="preserve">, Jean Bertrand; </w:t>
      </w:r>
      <w:r w:rsidRPr="004A2096">
        <w:rPr>
          <w:rFonts w:ascii="Arial" w:hAnsi="Arial" w:cs="Arial"/>
          <w:i/>
          <w:iCs/>
          <w:sz w:val="20"/>
          <w:szCs w:val="20"/>
        </w:rPr>
        <w:t>Diccionario de psicoanálisis</w:t>
      </w:r>
      <w:r w:rsidRPr="004A2096">
        <w:rPr>
          <w:rFonts w:ascii="Arial" w:hAnsi="Arial" w:cs="Arial"/>
          <w:sz w:val="20"/>
          <w:szCs w:val="20"/>
        </w:rPr>
        <w:t xml:space="preserve"> (Selección), Buenos Aires, </w:t>
      </w:r>
      <w:proofErr w:type="spellStart"/>
      <w:r w:rsidRPr="004A2096">
        <w:rPr>
          <w:rFonts w:ascii="Arial" w:hAnsi="Arial" w:cs="Arial"/>
          <w:sz w:val="20"/>
          <w:szCs w:val="20"/>
        </w:rPr>
        <w:t>Paidós</w:t>
      </w:r>
      <w:proofErr w:type="spellEnd"/>
      <w:r w:rsidRPr="004A2096">
        <w:rPr>
          <w:rFonts w:ascii="Arial" w:hAnsi="Arial" w:cs="Arial"/>
          <w:sz w:val="20"/>
          <w:szCs w:val="20"/>
        </w:rPr>
        <w:t>, 2001.</w:t>
      </w:r>
    </w:p>
    <w:sectPr w:rsidR="00047644" w:rsidRPr="004A2096" w:rsidSect="00555A51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3528E"/>
    <w:multiLevelType w:val="hybridMultilevel"/>
    <w:tmpl w:val="197881E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6637"/>
    <w:rsid w:val="00042C05"/>
    <w:rsid w:val="00047644"/>
    <w:rsid w:val="000A62A5"/>
    <w:rsid w:val="001A618C"/>
    <w:rsid w:val="004A2096"/>
    <w:rsid w:val="00555A51"/>
    <w:rsid w:val="00571402"/>
    <w:rsid w:val="006A513B"/>
    <w:rsid w:val="00796637"/>
    <w:rsid w:val="0086060C"/>
    <w:rsid w:val="008D1A62"/>
    <w:rsid w:val="009A6A5C"/>
    <w:rsid w:val="00BE70AC"/>
    <w:rsid w:val="00CA23C2"/>
    <w:rsid w:val="00DC260F"/>
    <w:rsid w:val="00E36D44"/>
    <w:rsid w:val="00FA6713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A51"/>
  </w:style>
  <w:style w:type="paragraph" w:styleId="Ttulo1">
    <w:name w:val="heading 1"/>
    <w:basedOn w:val="Normal"/>
    <w:next w:val="Normal"/>
    <w:rsid w:val="00555A5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55A5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55A5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55A5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55A5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555A5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55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5A5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55A5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preceptor2</cp:lastModifiedBy>
  <cp:revision>2</cp:revision>
  <cp:lastPrinted>2020-03-09T21:49:00Z</cp:lastPrinted>
  <dcterms:created xsi:type="dcterms:W3CDTF">2024-04-09T17:32:00Z</dcterms:created>
  <dcterms:modified xsi:type="dcterms:W3CDTF">2024-04-09T17:32:00Z</dcterms:modified>
</cp:coreProperties>
</file>